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1EBD0">
      <w:pPr>
        <w:spacing w:before="156" w:beforeLines="50" w:after="156" w:afterLines="50" w:line="360" w:lineRule="exact"/>
        <w:jc w:val="center"/>
        <w:rPr>
          <w:rFonts w:ascii="宋体" w:hAnsi="宋体" w:eastAsia="宋体" w:cs="Times New Roman"/>
          <w:b/>
          <w:color w:val="000000" w:themeColor="text1"/>
          <w:sz w:val="32"/>
          <w:szCs w:val="32"/>
          <w14:textFill>
            <w14:solidFill>
              <w14:schemeClr w14:val="tx1"/>
            </w14:solidFill>
          </w14:textFill>
        </w:rPr>
      </w:pPr>
      <w:r>
        <w:rPr>
          <w:rFonts w:hint="eastAsia" w:ascii="宋体" w:hAnsi="宋体" w:eastAsia="宋体" w:cs="Times New Roman"/>
          <w:b/>
          <w:color w:val="000000" w:themeColor="text1"/>
          <w:sz w:val="32"/>
          <w:szCs w:val="32"/>
          <w14:textFill>
            <w14:solidFill>
              <w14:schemeClr w14:val="tx1"/>
            </w14:solidFill>
          </w14:textFill>
        </w:rPr>
        <w:t>广州大学</w:t>
      </w:r>
      <w:r>
        <w:rPr>
          <w:rFonts w:hint="eastAsia" w:ascii="宋体" w:hAnsi="宋体" w:eastAsia="宋体" w:cs="Times New Roman"/>
          <w:b/>
          <w:color w:val="000000" w:themeColor="text1"/>
          <w:sz w:val="32"/>
          <w:szCs w:val="32"/>
          <w:lang w:eastAsia="zh-CN"/>
          <w14:textFill>
            <w14:solidFill>
              <w14:schemeClr w14:val="tx1"/>
            </w14:solidFill>
          </w14:textFill>
        </w:rPr>
        <w:t>2026年</w:t>
      </w:r>
      <w:r>
        <w:rPr>
          <w:rFonts w:hint="eastAsia" w:ascii="宋体" w:hAnsi="宋体" w:eastAsia="宋体" w:cs="Times New Roman"/>
          <w:b/>
          <w:color w:val="000000" w:themeColor="text1"/>
          <w:sz w:val="32"/>
          <w:szCs w:val="32"/>
          <w14:textFill>
            <w14:solidFill>
              <w14:schemeClr w14:val="tx1"/>
            </w14:solidFill>
          </w14:textFill>
        </w:rPr>
        <w:t>大学城校区毕业生宿舍维修翻新工程</w:t>
      </w:r>
    </w:p>
    <w:p w14:paraId="59AC4F33">
      <w:pPr>
        <w:spacing w:before="156" w:beforeLines="50" w:after="156" w:afterLines="50" w:line="360" w:lineRule="exact"/>
        <w:jc w:val="center"/>
        <w:rPr>
          <w:rFonts w:ascii="宋体" w:hAnsi="宋体" w:eastAsia="宋体" w:cs="Times New Roman"/>
          <w:b/>
          <w:color w:val="000000" w:themeColor="text1"/>
          <w:sz w:val="32"/>
          <w:szCs w:val="32"/>
          <w14:textFill>
            <w14:solidFill>
              <w14:schemeClr w14:val="tx1"/>
            </w14:solidFill>
          </w14:textFill>
        </w:rPr>
      </w:pPr>
      <w:r>
        <w:rPr>
          <w:rFonts w:hint="eastAsia" w:ascii="宋体" w:hAnsi="宋体" w:eastAsia="宋体" w:cs="Times New Roman"/>
          <w:b/>
          <w:color w:val="000000" w:themeColor="text1"/>
          <w:sz w:val="32"/>
          <w:szCs w:val="32"/>
          <w14:textFill>
            <w14:solidFill>
              <w14:schemeClr w14:val="tx1"/>
            </w14:solidFill>
          </w14:textFill>
        </w:rPr>
        <w:t>检测服务采购文件</w:t>
      </w:r>
    </w:p>
    <w:p w14:paraId="6E47FA23">
      <w:pPr>
        <w:spacing w:before="156" w:beforeLines="50" w:after="156" w:afterLines="50" w:line="440" w:lineRule="exact"/>
        <w:jc w:val="left"/>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一、采购项目</w:t>
      </w:r>
    </w:p>
    <w:p w14:paraId="4B2FB419">
      <w:pPr>
        <w:spacing w:line="440" w:lineRule="exact"/>
        <w:ind w:firstLine="420" w:firstLineChars="200"/>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1、项目名称：</w:t>
      </w:r>
      <w:r>
        <w:rPr>
          <w:rFonts w:hint="eastAsia"/>
          <w:color w:val="000000" w:themeColor="text1"/>
          <w:szCs w:val="21"/>
          <w:u w:val="single"/>
          <w14:textFill>
            <w14:solidFill>
              <w14:schemeClr w14:val="tx1"/>
            </w14:solidFill>
          </w14:textFill>
        </w:rPr>
        <w:t>广州大学</w:t>
      </w:r>
      <w:r>
        <w:rPr>
          <w:rFonts w:hint="eastAsia"/>
          <w:color w:val="000000" w:themeColor="text1"/>
          <w:szCs w:val="21"/>
          <w:u w:val="single"/>
          <w:lang w:eastAsia="zh-CN"/>
          <w14:textFill>
            <w14:solidFill>
              <w14:schemeClr w14:val="tx1"/>
            </w14:solidFill>
          </w14:textFill>
        </w:rPr>
        <w:t>2026年</w:t>
      </w:r>
      <w:r>
        <w:rPr>
          <w:rFonts w:hint="eastAsia"/>
          <w:color w:val="000000" w:themeColor="text1"/>
          <w:szCs w:val="21"/>
          <w:u w:val="single"/>
          <w14:textFill>
            <w14:solidFill>
              <w14:schemeClr w14:val="tx1"/>
            </w14:solidFill>
          </w14:textFill>
        </w:rPr>
        <w:t>大学城校区毕业生宿舍维修翻新工程检测服务</w:t>
      </w:r>
    </w:p>
    <w:p w14:paraId="0E69D3DE">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2、本项目最高限价：</w:t>
      </w:r>
      <w:r>
        <w:rPr>
          <w:rFonts w:hint="eastAsia"/>
          <w:color w:val="000000" w:themeColor="text1"/>
          <w:szCs w:val="21"/>
          <w:u w:val="single"/>
          <w14:textFill>
            <w14:solidFill>
              <w14:schemeClr w14:val="tx1"/>
            </w14:solidFill>
          </w14:textFill>
        </w:rPr>
        <w:t>￥</w:t>
      </w:r>
      <w:r>
        <w:rPr>
          <w:rFonts w:hint="eastAsia"/>
          <w:color w:val="000000" w:themeColor="text1"/>
          <w:szCs w:val="21"/>
          <w:u w:val="single"/>
          <w:lang w:val="en-US" w:eastAsia="zh-CN"/>
          <w14:textFill>
            <w14:solidFill>
              <w14:schemeClr w14:val="tx1"/>
            </w14:solidFill>
          </w14:textFill>
        </w:rPr>
        <w:t>99000</w:t>
      </w:r>
      <w:r>
        <w:rPr>
          <w:rFonts w:hint="eastAsia"/>
          <w:color w:val="000000" w:themeColor="text1"/>
          <w:szCs w:val="21"/>
          <w:u w:val="single"/>
          <w14:textFill>
            <w14:solidFill>
              <w14:schemeClr w14:val="tx1"/>
            </w14:solidFill>
          </w14:textFill>
        </w:rPr>
        <w:t>元（含</w:t>
      </w:r>
      <w:r>
        <w:rPr>
          <w:rFonts w:hint="eastAsia"/>
          <w:color w:val="000000" w:themeColor="text1"/>
          <w:szCs w:val="21"/>
          <w:u w:val="single"/>
          <w:lang w:val="en-US" w:eastAsia="zh-CN"/>
          <w14:textFill>
            <w14:solidFill>
              <w14:schemeClr w14:val="tx1"/>
            </w14:solidFill>
          </w14:textFill>
        </w:rPr>
        <w:t>20</w:t>
      </w:r>
      <w:r>
        <w:rPr>
          <w:color w:val="000000" w:themeColor="text1"/>
          <w:szCs w:val="21"/>
          <w:u w:val="single"/>
          <w14:textFill>
            <w14:solidFill>
              <w14:schemeClr w14:val="tx1"/>
            </w14:solidFill>
          </w14:textFill>
        </w:rPr>
        <w:t>000</w:t>
      </w:r>
      <w:r>
        <w:rPr>
          <w:rFonts w:hint="eastAsia"/>
          <w:color w:val="000000" w:themeColor="text1"/>
          <w:szCs w:val="21"/>
          <w:u w:val="single"/>
          <w14:textFill>
            <w14:solidFill>
              <w14:schemeClr w14:val="tx1"/>
            </w14:solidFill>
          </w14:textFill>
        </w:rPr>
        <w:t>元暂列金），暂列金为不可竞争费用。</w:t>
      </w:r>
    </w:p>
    <w:p w14:paraId="49C6A9D6">
      <w:pPr>
        <w:spacing w:line="440" w:lineRule="exact"/>
        <w:ind w:firstLine="420" w:firstLineChars="200"/>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3、</w:t>
      </w:r>
      <w:r>
        <w:rPr>
          <w:rFonts w:hint="eastAsia"/>
          <w:color w:val="000000" w:themeColor="text1"/>
          <w:szCs w:val="21"/>
          <w:lang w:val="en-US" w:eastAsia="zh-CN"/>
          <w14:textFill>
            <w14:solidFill>
              <w14:schemeClr w14:val="tx1"/>
            </w14:solidFill>
          </w14:textFill>
        </w:rPr>
        <w:t>本</w:t>
      </w:r>
      <w:r>
        <w:rPr>
          <w:rFonts w:hint="eastAsia"/>
          <w:color w:val="000000" w:themeColor="text1"/>
          <w:szCs w:val="21"/>
          <w14:textFill>
            <w14:solidFill>
              <w14:schemeClr w14:val="tx1"/>
            </w14:solidFill>
          </w14:textFill>
        </w:rPr>
        <w:t>项目</w:t>
      </w:r>
      <w:r>
        <w:rPr>
          <w:rFonts w:hint="eastAsia"/>
          <w:color w:val="000000" w:themeColor="text1"/>
          <w:szCs w:val="21"/>
          <w:lang w:val="en-US" w:eastAsia="zh-CN"/>
          <w14:textFill>
            <w14:solidFill>
              <w14:schemeClr w14:val="tx1"/>
            </w14:solidFill>
          </w14:textFill>
        </w:rPr>
        <w:t>使用地点</w:t>
      </w:r>
      <w:r>
        <w:rPr>
          <w:rFonts w:hint="eastAsia"/>
          <w:color w:val="000000" w:themeColor="text1"/>
          <w:szCs w:val="21"/>
          <w14:textFill>
            <w14:solidFill>
              <w14:schemeClr w14:val="tx1"/>
            </w14:solidFill>
          </w14:textFill>
        </w:rPr>
        <w:t>：</w:t>
      </w:r>
      <w:r>
        <w:rPr>
          <w:rFonts w:hint="eastAsia"/>
          <w:color w:val="000000" w:themeColor="text1"/>
          <w:szCs w:val="21"/>
          <w:u w:val="single"/>
          <w14:textFill>
            <w14:solidFill>
              <w14:schemeClr w14:val="tx1"/>
            </w14:solidFill>
          </w14:textFill>
        </w:rPr>
        <w:t>大学城校区生活区</w:t>
      </w:r>
    </w:p>
    <w:p w14:paraId="24B1CFCB">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4、项目概况：广州大学</w:t>
      </w:r>
      <w:r>
        <w:rPr>
          <w:rFonts w:hint="eastAsia"/>
          <w:color w:val="000000" w:themeColor="text1"/>
          <w:szCs w:val="21"/>
          <w:lang w:eastAsia="zh-CN"/>
          <w14:textFill>
            <w14:solidFill>
              <w14:schemeClr w14:val="tx1"/>
            </w14:solidFill>
          </w14:textFill>
        </w:rPr>
        <w:t>2026年</w:t>
      </w:r>
      <w:r>
        <w:rPr>
          <w:rFonts w:hint="eastAsia"/>
          <w:color w:val="000000" w:themeColor="text1"/>
          <w:szCs w:val="21"/>
          <w14:textFill>
            <w14:solidFill>
              <w14:schemeClr w14:val="tx1"/>
            </w14:solidFill>
          </w14:textFill>
        </w:rPr>
        <w:t>大学城校区毕业生宿舍维修翻新工程涉及梅苑1</w:t>
      </w:r>
      <w:r>
        <w:rPr>
          <w:rFonts w:hint="eastAsia"/>
          <w:color w:val="000000" w:themeColor="text1"/>
          <w:szCs w:val="21"/>
          <w:lang w:val="en-US" w:eastAsia="zh-CN"/>
          <w14:textFill>
            <w14:solidFill>
              <w14:schemeClr w14:val="tx1"/>
            </w14:solidFill>
          </w14:textFill>
        </w:rPr>
        <w:t>-3</w:t>
      </w: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6-</w:t>
      </w:r>
      <w:r>
        <w:rPr>
          <w:rFonts w:hint="eastAsia"/>
          <w:color w:val="000000" w:themeColor="text1"/>
          <w:szCs w:val="21"/>
          <w14:textFill>
            <w14:solidFill>
              <w14:schemeClr w14:val="tx1"/>
            </w14:solidFill>
          </w14:textFill>
        </w:rPr>
        <w:t>10栋，兰苑</w:t>
      </w:r>
      <w:r>
        <w:rPr>
          <w:rFonts w:hint="eastAsia"/>
          <w:color w:val="000000" w:themeColor="text1"/>
          <w:szCs w:val="21"/>
          <w:lang w:val="en-US" w:eastAsia="zh-CN"/>
          <w14:textFill>
            <w14:solidFill>
              <w14:schemeClr w14:val="tx1"/>
            </w14:solidFill>
          </w14:textFill>
        </w:rPr>
        <w:t>1、3-</w:t>
      </w:r>
      <w:r>
        <w:rPr>
          <w:rFonts w:hint="eastAsia"/>
          <w:color w:val="000000" w:themeColor="text1"/>
          <w:szCs w:val="21"/>
          <w14:textFill>
            <w14:solidFill>
              <w14:schemeClr w14:val="tx1"/>
            </w14:solidFill>
          </w14:textFill>
        </w:rPr>
        <w:t>5栋，竹苑1</w:t>
      </w:r>
      <w:r>
        <w:rPr>
          <w:rFonts w:hint="eastAsia"/>
          <w:color w:val="000000" w:themeColor="text1"/>
          <w:szCs w:val="21"/>
          <w:lang w:val="en-US" w:eastAsia="zh-CN"/>
          <w14:textFill>
            <w14:solidFill>
              <w14:schemeClr w14:val="tx1"/>
            </w14:solidFill>
          </w14:textFill>
        </w:rPr>
        <w:t>-4</w:t>
      </w:r>
      <w:r>
        <w:rPr>
          <w:rFonts w:hint="eastAsia"/>
          <w:color w:val="000000" w:themeColor="text1"/>
          <w:szCs w:val="21"/>
          <w14:textFill>
            <w14:solidFill>
              <w14:schemeClr w14:val="tx1"/>
            </w14:solidFill>
          </w14:textFill>
        </w:rPr>
        <w:t>栋，菊苑1</w:t>
      </w:r>
      <w:r>
        <w:rPr>
          <w:rFonts w:hint="eastAsia"/>
          <w:color w:val="000000" w:themeColor="text1"/>
          <w:szCs w:val="21"/>
          <w:lang w:val="en-US" w:eastAsia="zh-CN"/>
          <w14:textFill>
            <w14:solidFill>
              <w14:schemeClr w14:val="tx1"/>
            </w14:solidFill>
          </w14:textFill>
        </w:rPr>
        <w:t>-3、5</w:t>
      </w:r>
      <w:r>
        <w:rPr>
          <w:rFonts w:hint="eastAsia"/>
          <w:color w:val="000000" w:themeColor="text1"/>
          <w:szCs w:val="21"/>
          <w14:textFill>
            <w14:solidFill>
              <w14:schemeClr w14:val="tx1"/>
            </w14:solidFill>
          </w14:textFill>
        </w:rPr>
        <w:t>栋，</w:t>
      </w:r>
      <w:r>
        <w:rPr>
          <w:rFonts w:hint="eastAsia"/>
          <w:color w:val="000000" w:themeColor="text1"/>
          <w:szCs w:val="21"/>
          <w:lang w:val="en-US" w:eastAsia="zh-CN"/>
          <w14:textFill>
            <w14:solidFill>
              <w14:schemeClr w14:val="tx1"/>
            </w14:solidFill>
          </w14:textFill>
        </w:rPr>
        <w:t>榕轩1、3栋，</w:t>
      </w:r>
      <w:r>
        <w:rPr>
          <w:rFonts w:hint="eastAsia"/>
          <w:color w:val="000000" w:themeColor="text1"/>
          <w:szCs w:val="21"/>
          <w14:textFill>
            <w14:solidFill>
              <w14:schemeClr w14:val="tx1"/>
            </w14:solidFill>
          </w14:textFill>
        </w:rPr>
        <w:t>共2</w:t>
      </w:r>
      <w:r>
        <w:rPr>
          <w:rFonts w:hint="eastAsia"/>
          <w:color w:val="000000" w:themeColor="text1"/>
          <w:szCs w:val="21"/>
          <w:lang w:val="en-US" w:eastAsia="zh-CN"/>
          <w14:textFill>
            <w14:solidFill>
              <w14:schemeClr w14:val="tx1"/>
            </w14:solidFill>
          </w14:textFill>
        </w:rPr>
        <w:t>3</w:t>
      </w:r>
      <w:r>
        <w:rPr>
          <w:rFonts w:hint="eastAsia"/>
          <w:color w:val="000000" w:themeColor="text1"/>
          <w:szCs w:val="21"/>
          <w14:textFill>
            <w14:solidFill>
              <w14:schemeClr w14:val="tx1"/>
            </w14:solidFill>
          </w14:textFill>
        </w:rPr>
        <w:t>栋约1</w:t>
      </w:r>
      <w:r>
        <w:rPr>
          <w:rFonts w:hint="eastAsia"/>
          <w:color w:val="000000" w:themeColor="text1"/>
          <w:szCs w:val="21"/>
          <w:lang w:val="en-US" w:eastAsia="zh-CN"/>
          <w14:textFill>
            <w14:solidFill>
              <w14:schemeClr w14:val="tx1"/>
            </w14:solidFill>
          </w14:textFill>
        </w:rPr>
        <w:t>3</w:t>
      </w:r>
      <w:r>
        <w:rPr>
          <w:rFonts w:hint="eastAsia"/>
          <w:color w:val="000000" w:themeColor="text1"/>
          <w:szCs w:val="21"/>
          <w14:textFill>
            <w14:solidFill>
              <w14:schemeClr w14:val="tx1"/>
            </w14:solidFill>
          </w14:textFill>
        </w:rPr>
        <w:t>00间学生宿舍。项目内容包括：天棚、墙面粉刷翻新，部分进户门翻新，卫生间门、淋浴间门、蹲便冲水箱更换，局部防水补漏等。</w:t>
      </w:r>
    </w:p>
    <w:p w14:paraId="6DA95201">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5、工程工期总日历天数：40天（拟开工时间：7月上旬，拟竣工时间：8月中旬）</w:t>
      </w:r>
    </w:p>
    <w:p w14:paraId="2AE6D5BB">
      <w:pPr>
        <w:spacing w:line="440" w:lineRule="exact"/>
        <w:ind w:firstLine="422" w:firstLineChars="200"/>
        <w:rPr>
          <w:rFonts w:ascii="宋体" w:hAnsi="宋体" w:eastAsia="宋体" w:cs="Arial"/>
          <w:b/>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en-US" w:eastAsia="zh-CN"/>
          <w14:textFill>
            <w14:solidFill>
              <w14:schemeClr w14:val="tx1"/>
            </w14:solidFill>
          </w14:textFill>
        </w:rPr>
        <w:t>6</w:t>
      </w:r>
      <w:r>
        <w:rPr>
          <w:rFonts w:hint="eastAsia" w:ascii="宋体" w:hAnsi="宋体" w:eastAsia="宋体" w:cs="Arial"/>
          <w:b/>
          <w:color w:val="000000" w:themeColor="text1"/>
          <w:szCs w:val="21"/>
          <w:lang w:val="zh-CN"/>
          <w14:textFill>
            <w14:solidFill>
              <w14:schemeClr w14:val="tx1"/>
            </w14:solidFill>
          </w14:textFill>
        </w:rPr>
        <w:t>、本文加★号的条款均被视为重要的指标要求，必须一一响应。若有一项带“★”的指标要求未响应或不满足，将按响应无效处理。</w:t>
      </w:r>
    </w:p>
    <w:p w14:paraId="3BB1886B">
      <w:pPr>
        <w:pStyle w:val="13"/>
        <w:rPr>
          <w:color w:val="000000" w:themeColor="text1"/>
          <w14:textFill>
            <w14:solidFill>
              <w14:schemeClr w14:val="tx1"/>
            </w14:solidFill>
          </w14:textFill>
        </w:rPr>
      </w:pPr>
    </w:p>
    <w:p w14:paraId="59EACC42">
      <w:pPr>
        <w:spacing w:line="440" w:lineRule="exact"/>
        <w:rPr>
          <w:rFonts w:ascii="宋体" w:hAnsi="宋体" w:eastAsia="宋体" w:cs="宋体"/>
          <w:b/>
          <w:color w:val="000000" w:themeColor="text1"/>
          <w:szCs w:val="21"/>
          <w:lang w:val="zh-CN"/>
          <w14:textFill>
            <w14:solidFill>
              <w14:schemeClr w14:val="tx1"/>
            </w14:solidFill>
          </w14:textFill>
        </w:rPr>
      </w:pPr>
      <w:r>
        <w:rPr>
          <w:rFonts w:hint="eastAsia" w:ascii="宋体" w:hAnsi="宋体" w:eastAsia="宋体" w:cs="宋体"/>
          <w:b/>
          <w:color w:val="000000" w:themeColor="text1"/>
          <w:szCs w:val="21"/>
          <w:lang w:val="zh-CN"/>
          <w14:textFill>
            <w14:solidFill>
              <w14:schemeClr w14:val="tx1"/>
            </w14:solidFill>
          </w14:textFill>
        </w:rPr>
        <w:t>二、质量要求、技术标准及供应商要求</w:t>
      </w:r>
    </w:p>
    <w:p w14:paraId="4D749D41">
      <w:pPr>
        <w:pStyle w:val="12"/>
        <w:spacing w:before="0" w:beforeAutospacing="0" w:after="0" w:afterAutospacing="0" w:line="440" w:lineRule="exact"/>
        <w:ind w:firstLine="420" w:firstLineChars="200"/>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1</w:t>
      </w:r>
      <w:r>
        <w:rPr>
          <w:rFonts w:hint="eastAsia"/>
          <w:color w:val="000000" w:themeColor="text1"/>
          <w:sz w:val="21"/>
          <w:szCs w:val="21"/>
          <w14:textFill>
            <w14:solidFill>
              <w14:schemeClr w14:val="tx1"/>
            </w14:solidFill>
          </w14:textFill>
        </w:rPr>
        <w:t>、质量要求、技术标准：</w:t>
      </w:r>
    </w:p>
    <w:p w14:paraId="164A3E1B">
      <w:pPr>
        <w:pStyle w:val="12"/>
        <w:spacing w:before="0" w:beforeAutospacing="0" w:after="0" w:afterAutospacing="0" w:line="440" w:lineRule="exact"/>
        <w:ind w:firstLine="420" w:firstLineChars="20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成交供应商提供的货物（服务）必须符合中华人民共和国国家安全环保标准、国家有关产品质量认证标准。询价文件和报价文件中规定的质量要求和技术指标为约定标准，采购人和成交供应商如遇对质量要求和技术指标中有相互抵触或异议的事项，由采购人在询价文件和报价文件中按质量要求和技术指标“就优不就劣”有利于采购人的原则确定该项的约定标准。</w:t>
      </w:r>
    </w:p>
    <w:p w14:paraId="4EB2E3D2">
      <w:pPr>
        <w:pStyle w:val="12"/>
        <w:spacing w:before="0" w:beforeAutospacing="0" w:after="0" w:afterAutospacing="0" w:line="440" w:lineRule="exact"/>
        <w:ind w:firstLine="420" w:firstLineChars="20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须严格按照《建筑结构检测技术标准》（GB/T 50344）、《混凝土结构设计规范》（GB50010）、《建筑装饰装修工程质量验收标准（G</w:t>
      </w:r>
      <w:r>
        <w:rPr>
          <w:color w:val="000000" w:themeColor="text1"/>
          <w:sz w:val="21"/>
          <w:szCs w:val="21"/>
          <w14:textFill>
            <w14:solidFill>
              <w14:schemeClr w14:val="tx1"/>
            </w14:solidFill>
          </w14:textFill>
        </w:rPr>
        <w:t>B50210</w:t>
      </w:r>
      <w:r>
        <w:rPr>
          <w:rFonts w:hint="eastAsia"/>
          <w:color w:val="000000" w:themeColor="text1"/>
          <w:sz w:val="21"/>
          <w:szCs w:val="21"/>
          <w14:textFill>
            <w14:solidFill>
              <w14:schemeClr w14:val="tx1"/>
            </w14:solidFill>
          </w14:textFill>
        </w:rPr>
        <w:t>）》《建筑环境通用规范（G</w:t>
      </w:r>
      <w:r>
        <w:rPr>
          <w:color w:val="000000" w:themeColor="text1"/>
          <w:sz w:val="21"/>
          <w:szCs w:val="21"/>
          <w14:textFill>
            <w14:solidFill>
              <w14:schemeClr w14:val="tx1"/>
            </w14:solidFill>
          </w14:textFill>
        </w:rPr>
        <w:t>B55016</w:t>
      </w:r>
      <w:r>
        <w:rPr>
          <w:rFonts w:hint="eastAsia"/>
          <w:color w:val="000000" w:themeColor="text1"/>
          <w:sz w:val="21"/>
          <w:szCs w:val="21"/>
          <w14:textFill>
            <w14:solidFill>
              <w14:schemeClr w14:val="tx1"/>
            </w14:solidFill>
          </w14:textFill>
        </w:rPr>
        <w:t>）》《建筑用墙面涂料中有害物质限量（G</w:t>
      </w:r>
      <w:r>
        <w:rPr>
          <w:color w:val="000000" w:themeColor="text1"/>
          <w:sz w:val="21"/>
          <w:szCs w:val="21"/>
          <w14:textFill>
            <w14:solidFill>
              <w14:schemeClr w14:val="tx1"/>
            </w14:solidFill>
          </w14:textFill>
        </w:rPr>
        <w:t>B18582</w:t>
      </w:r>
      <w:r>
        <w:rPr>
          <w:rFonts w:hint="eastAsia"/>
          <w:color w:val="000000" w:themeColor="text1"/>
          <w:sz w:val="21"/>
          <w:szCs w:val="21"/>
          <w14:textFill>
            <w14:solidFill>
              <w14:schemeClr w14:val="tx1"/>
            </w14:solidFill>
          </w14:textFill>
        </w:rPr>
        <w:t>）》《民用建筑工程室内环境污染控制标准（G</w:t>
      </w:r>
      <w:r>
        <w:rPr>
          <w:color w:val="000000" w:themeColor="text1"/>
          <w:sz w:val="21"/>
          <w:szCs w:val="21"/>
          <w14:textFill>
            <w14:solidFill>
              <w14:schemeClr w14:val="tx1"/>
            </w14:solidFill>
          </w14:textFill>
        </w:rPr>
        <w:t>B50325</w:t>
      </w:r>
      <w:r>
        <w:rPr>
          <w:rFonts w:hint="eastAsia"/>
          <w:color w:val="000000" w:themeColor="text1"/>
          <w:sz w:val="21"/>
          <w:szCs w:val="21"/>
          <w14:textFill>
            <w14:solidFill>
              <w14:schemeClr w14:val="tx1"/>
            </w14:solidFill>
          </w14:textFill>
        </w:rPr>
        <w:t>）》、《建设工程质量检测机构资质标准》《中华人民共和国建筑法》《建设工程质量管理条例》、《建设工程质量检测管理办法》《广东省建设工程质量管理条例》《广州市房屋建筑和市政基础设施工程质量管理办法》《广州市建设工程质量检测管理办法》等相关现行规范、标准及国家、地方相关规章制度以及设计文件、施工质量保证资料和现场情况开展检测、鉴定工作。</w:t>
      </w:r>
    </w:p>
    <w:p w14:paraId="615FCD11">
      <w:pPr>
        <w:pStyle w:val="12"/>
        <w:spacing w:before="0" w:beforeAutospacing="0" w:after="0" w:afterAutospacing="0" w:line="440" w:lineRule="exact"/>
        <w:ind w:firstLine="482" w:firstLineChars="200"/>
        <w:jc w:val="both"/>
        <w:rPr>
          <w:color w:val="000000" w:themeColor="text1"/>
          <w:sz w:val="21"/>
          <w:szCs w:val="21"/>
          <w14:textFill>
            <w14:solidFill>
              <w14:schemeClr w14:val="tx1"/>
            </w14:solidFill>
          </w14:textFill>
        </w:rPr>
      </w:pPr>
      <w:r>
        <w:rPr>
          <w:rFonts w:hint="eastAsia"/>
          <w:b/>
          <w:color w:val="000000" w:themeColor="text1"/>
          <w:szCs w:val="21"/>
          <w:lang w:val="zh-CN"/>
          <w14:textFill>
            <w14:solidFill>
              <w14:schemeClr w14:val="tx1"/>
            </w14:solidFill>
          </w14:textFill>
        </w:rPr>
        <w:t>★</w:t>
      </w:r>
      <w:r>
        <w:rPr>
          <w:color w:val="000000" w:themeColor="text1"/>
          <w:sz w:val="21"/>
          <w:szCs w:val="21"/>
          <w14:textFill>
            <w14:solidFill>
              <w14:schemeClr w14:val="tx1"/>
            </w14:solidFill>
          </w14:textFill>
        </w:rPr>
        <w:t>2</w:t>
      </w:r>
      <w:r>
        <w:rPr>
          <w:rFonts w:hint="eastAsia"/>
          <w:color w:val="000000" w:themeColor="text1"/>
          <w:sz w:val="21"/>
          <w:szCs w:val="21"/>
          <w14:textFill>
            <w14:solidFill>
              <w14:schemeClr w14:val="tx1"/>
            </w14:solidFill>
          </w14:textFill>
        </w:rPr>
        <w:t>、供应商要求：</w:t>
      </w:r>
    </w:p>
    <w:p w14:paraId="7505518C">
      <w:pPr>
        <w:spacing w:line="44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（1）供应商须提供建设行政主管部门颁发的建设工程质量检测机构资质证书，检测服务期间证书</w:t>
      </w:r>
      <w:r>
        <w:rPr>
          <w:rFonts w:hint="eastAsia" w:ascii="宋体" w:hAnsi="宋体" w:cs="宋体"/>
          <w:color w:val="000000" w:themeColor="text1"/>
          <w:lang w:val="en-US" w:eastAsia="zh-CN"/>
          <w14:textFill>
            <w14:solidFill>
              <w14:schemeClr w14:val="tx1"/>
            </w14:solidFill>
          </w14:textFill>
        </w:rPr>
        <w:t>须</w:t>
      </w:r>
      <w:r>
        <w:rPr>
          <w:rFonts w:hint="eastAsia" w:ascii="宋体" w:hAnsi="宋体" w:cs="宋体"/>
          <w:color w:val="000000" w:themeColor="text1"/>
          <w14:textFill>
            <w14:solidFill>
              <w14:schemeClr w14:val="tx1"/>
            </w14:solidFill>
          </w14:textFill>
        </w:rPr>
        <w:t>在有效期内，</w:t>
      </w:r>
      <w:r>
        <w:rPr>
          <w:rFonts w:hint="eastAsia" w:ascii="宋体" w:hAnsi="宋体" w:cs="宋体"/>
          <w:color w:val="000000" w:themeColor="text1"/>
          <w:lang w:val="en-US" w:eastAsia="zh-CN"/>
          <w14:textFill>
            <w14:solidFill>
              <w14:schemeClr w14:val="tx1"/>
            </w14:solidFill>
          </w14:textFill>
        </w:rPr>
        <w:t>且</w:t>
      </w:r>
      <w:r>
        <w:rPr>
          <w:rFonts w:hint="eastAsia" w:ascii="宋体" w:hAnsi="宋体" w:cs="宋体"/>
          <w:color w:val="000000" w:themeColor="text1"/>
          <w14:textFill>
            <w14:solidFill>
              <w14:schemeClr w14:val="tx1"/>
            </w14:solidFill>
          </w14:textFill>
        </w:rPr>
        <w:t>检测范围要包含《清单报价表》中涉及的检测对象和相应的检测参数，并提供相应佐证材料。</w:t>
      </w:r>
    </w:p>
    <w:p w14:paraId="7C10D20B">
      <w:pPr>
        <w:spacing w:line="44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w:t>
      </w:r>
      <w:r>
        <w:rPr>
          <w:rFonts w:hint="eastAsia" w:ascii="宋体" w:hAnsi="宋体" w:cs="宋体"/>
          <w:color w:val="000000" w:themeColor="text1"/>
          <w14:textFill>
            <w14:solidFill>
              <w14:schemeClr w14:val="tx1"/>
            </w14:solidFill>
          </w14:textFill>
        </w:rPr>
        <w:t>）供应商须在广州市住房和城乡建设局建立企业诚信档案，外省检测机构须按规定向广东省建设行政管理部门备案，并提供证明材料。</w:t>
      </w:r>
    </w:p>
    <w:p w14:paraId="3E4B791C">
      <w:pPr>
        <w:spacing w:line="44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）供应商须根据本项目的检测内容及工期合理配备检测人员和设备，并提供人员组织构架和设备清单，项目负责人和检测人员须提供符合检测内容及相关法规要求的资质证书。</w:t>
      </w:r>
    </w:p>
    <w:p w14:paraId="6D169F93">
      <w:pPr>
        <w:spacing w:line="44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）供应商</w:t>
      </w:r>
      <w:r>
        <w:rPr>
          <w:rFonts w:hint="eastAsia" w:ascii="宋体" w:hAnsi="宋体" w:cs="宋体"/>
          <w:color w:val="000000" w:themeColor="text1"/>
          <w:lang w:val="en-US" w:eastAsia="zh-CN"/>
          <w14:textFill>
            <w14:solidFill>
              <w14:schemeClr w14:val="tx1"/>
            </w14:solidFill>
          </w14:textFill>
        </w:rPr>
        <w:t>须</w:t>
      </w:r>
      <w:r>
        <w:rPr>
          <w:rFonts w:hint="eastAsia" w:ascii="宋体" w:hAnsi="宋体" w:cs="宋体"/>
          <w:color w:val="000000" w:themeColor="text1"/>
          <w14:textFill>
            <w14:solidFill>
              <w14:schemeClr w14:val="tx1"/>
            </w14:solidFill>
          </w14:textFill>
        </w:rPr>
        <w:t>提供20</w:t>
      </w:r>
      <w:r>
        <w:rPr>
          <w:rFonts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年1月1日以来供应商含空气污染物检测的同类业绩证明材料，须提供检测服务合同和检验报告。</w:t>
      </w:r>
      <w:r>
        <w:rPr>
          <w:rFonts w:hint="eastAsia"/>
          <w:szCs w:val="21"/>
        </w:rPr>
        <w:t>（须体现项目名称、合同金额与签订合同双方的落款盖章、签订日期关键信息、检测成果封面、项目成员签字页、目录和结论页复印件等）</w:t>
      </w:r>
    </w:p>
    <w:p w14:paraId="78C4BD37">
      <w:pPr>
        <w:spacing w:line="440" w:lineRule="exact"/>
        <w:rPr>
          <w:rFonts w:ascii="宋体" w:hAnsi="宋体" w:eastAsia="宋体" w:cs="Arial"/>
          <w:b/>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三、项目采购需求：</w:t>
      </w:r>
    </w:p>
    <w:p w14:paraId="093EC95C">
      <w:pPr>
        <w:spacing w:line="440" w:lineRule="exact"/>
        <w:ind w:firstLine="482" w:firstLineChars="200"/>
        <w:rPr>
          <w:rFonts w:ascii="宋体" w:hAnsi="宋体" w:eastAsia="宋体" w:cs="Times New Roman"/>
          <w:b/>
          <w:color w:val="000000" w:themeColor="text1"/>
          <w:szCs w:val="21"/>
          <w14:textFill>
            <w14:solidFill>
              <w14:schemeClr w14:val="tx1"/>
            </w14:solidFill>
          </w14:textFill>
        </w:rPr>
      </w:pPr>
      <w:r>
        <w:rPr>
          <w:rFonts w:hint="eastAsia" w:ascii="宋体" w:hAnsi="宋体" w:cs="Arial"/>
          <w:b/>
          <w:color w:val="000000" w:themeColor="text1"/>
          <w:sz w:val="24"/>
          <w:lang w:val="zh-CN"/>
          <w14:textFill>
            <w14:solidFill>
              <w14:schemeClr w14:val="tx1"/>
            </w14:solidFill>
          </w14:textFill>
        </w:rPr>
        <w:t>1、</w:t>
      </w:r>
      <w:r>
        <w:rPr>
          <w:rFonts w:hint="eastAsia" w:ascii="宋体" w:hAnsi="宋体" w:eastAsia="宋体" w:cs="Arial"/>
          <w:b/>
          <w:color w:val="000000" w:themeColor="text1"/>
          <w:szCs w:val="21"/>
          <w:lang w:val="zh-CN"/>
          <w14:textFill>
            <w14:solidFill>
              <w14:schemeClr w14:val="tx1"/>
            </w14:solidFill>
          </w14:textFill>
        </w:rPr>
        <w:t>采购</w:t>
      </w:r>
      <w:r>
        <w:rPr>
          <w:rFonts w:hint="eastAsia" w:ascii="宋体" w:hAnsi="宋体" w:eastAsia="宋体" w:cs="Times New Roman"/>
          <w:b/>
          <w:color w:val="000000" w:themeColor="text1"/>
          <w:szCs w:val="21"/>
          <w14:textFill>
            <w14:solidFill>
              <w14:schemeClr w14:val="tx1"/>
            </w14:solidFill>
          </w14:textFill>
        </w:rPr>
        <w:t>服务名称、数量、规格及技术要求：</w:t>
      </w:r>
    </w:p>
    <w:tbl>
      <w:tblPr>
        <w:tblStyle w:val="14"/>
        <w:tblW w:w="825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1"/>
        <w:gridCol w:w="3401"/>
        <w:gridCol w:w="1470"/>
        <w:gridCol w:w="2574"/>
      </w:tblGrid>
      <w:tr w14:paraId="78B695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811" w:type="dxa"/>
            <w:vAlign w:val="center"/>
          </w:tcPr>
          <w:p w14:paraId="12D9B8E0">
            <w:pPr>
              <w:spacing w:line="360" w:lineRule="exact"/>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序号</w:t>
            </w:r>
          </w:p>
        </w:tc>
        <w:tc>
          <w:tcPr>
            <w:tcW w:w="3401" w:type="dxa"/>
            <w:vAlign w:val="center"/>
          </w:tcPr>
          <w:p w14:paraId="632436EF">
            <w:pPr>
              <w:spacing w:line="360" w:lineRule="exact"/>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名称</w:t>
            </w:r>
          </w:p>
        </w:tc>
        <w:tc>
          <w:tcPr>
            <w:tcW w:w="1470" w:type="dxa"/>
            <w:vAlign w:val="center"/>
          </w:tcPr>
          <w:p w14:paraId="5725408F">
            <w:pPr>
              <w:spacing w:line="360" w:lineRule="exact"/>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数量</w:t>
            </w:r>
          </w:p>
        </w:tc>
        <w:tc>
          <w:tcPr>
            <w:tcW w:w="2574" w:type="dxa"/>
            <w:vAlign w:val="center"/>
          </w:tcPr>
          <w:p w14:paraId="764ECE88">
            <w:pPr>
              <w:spacing w:line="360" w:lineRule="exact"/>
              <w:jc w:val="center"/>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规格及技术要求：</w:t>
            </w:r>
          </w:p>
        </w:tc>
      </w:tr>
      <w:tr w14:paraId="47F4D0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811" w:type="dxa"/>
            <w:shd w:val="clear" w:color="auto" w:fill="auto"/>
            <w:vAlign w:val="center"/>
          </w:tcPr>
          <w:p w14:paraId="6516B6ED">
            <w:pPr>
              <w:spacing w:line="360" w:lineRule="exact"/>
              <w:jc w:val="center"/>
              <w:rPr>
                <w:rFonts w:ascii="宋体" w:hAnsi="宋体" w:eastAsia="宋体" w:cs="Arial"/>
                <w:color w:val="000000" w:themeColor="text1"/>
                <w:szCs w:val="21"/>
                <w14:textFill>
                  <w14:solidFill>
                    <w14:schemeClr w14:val="tx1"/>
                  </w14:solidFill>
                </w14:textFill>
              </w:rPr>
            </w:pPr>
            <w:r>
              <w:rPr>
                <w:rFonts w:hint="eastAsia" w:ascii="宋体" w:hAnsi="宋体" w:eastAsia="宋体" w:cs="Arial"/>
                <w:color w:val="000000" w:themeColor="text1"/>
                <w:szCs w:val="21"/>
                <w14:textFill>
                  <w14:solidFill>
                    <w14:schemeClr w14:val="tx1"/>
                  </w14:solidFill>
                </w14:textFill>
              </w:rPr>
              <w:t>01</w:t>
            </w:r>
          </w:p>
        </w:tc>
        <w:tc>
          <w:tcPr>
            <w:tcW w:w="3401" w:type="dxa"/>
            <w:shd w:val="clear" w:color="auto" w:fill="auto"/>
            <w:vAlign w:val="center"/>
          </w:tcPr>
          <w:p w14:paraId="31D39F65">
            <w:pPr>
              <w:spacing w:line="360" w:lineRule="exact"/>
              <w:jc w:val="center"/>
              <w:rPr>
                <w:rFonts w:ascii="宋体" w:hAnsi="宋体" w:eastAsia="宋体" w:cs="Arial"/>
                <w:color w:val="000000" w:themeColor="text1"/>
                <w:szCs w:val="21"/>
                <w14:textFill>
                  <w14:solidFill>
                    <w14:schemeClr w14:val="tx1"/>
                  </w14:solidFill>
                </w14:textFill>
              </w:rPr>
            </w:pPr>
            <w:r>
              <w:rPr>
                <w:rFonts w:hint="eastAsia" w:ascii="宋体" w:hAnsi="宋体" w:eastAsia="宋体" w:cs="Arial"/>
                <w:color w:val="000000" w:themeColor="text1"/>
                <w:szCs w:val="21"/>
                <w:u w:val="single"/>
                <w:lang w:val="zh-CN"/>
                <w14:textFill>
                  <w14:solidFill>
                    <w14:schemeClr w14:val="tx1"/>
                  </w14:solidFill>
                </w14:textFill>
              </w:rPr>
              <w:t>广州大学2026年大学城校区毕业生宿舍维修翻新工程检测服务</w:t>
            </w:r>
          </w:p>
        </w:tc>
        <w:tc>
          <w:tcPr>
            <w:tcW w:w="1470" w:type="dxa"/>
            <w:shd w:val="clear" w:color="auto" w:fill="auto"/>
            <w:vAlign w:val="center"/>
          </w:tcPr>
          <w:p w14:paraId="7B50CDD2">
            <w:pPr>
              <w:spacing w:line="360" w:lineRule="exact"/>
              <w:jc w:val="center"/>
              <w:rPr>
                <w:rFonts w:ascii="宋体" w:hAnsi="宋体" w:eastAsia="宋体" w:cs="Arial"/>
                <w:color w:val="000000" w:themeColor="text1"/>
                <w:szCs w:val="21"/>
                <w14:textFill>
                  <w14:solidFill>
                    <w14:schemeClr w14:val="tx1"/>
                  </w14:solidFill>
                </w14:textFill>
              </w:rPr>
            </w:pPr>
            <w:r>
              <w:rPr>
                <w:rFonts w:hint="eastAsia" w:ascii="仿宋" w:hAnsi="仿宋" w:eastAsia="仿宋" w:cs="Times New Roman"/>
                <w:color w:val="000000" w:themeColor="text1"/>
                <w:szCs w:val="21"/>
                <w14:textFill>
                  <w14:solidFill>
                    <w14:schemeClr w14:val="tx1"/>
                  </w14:solidFill>
                </w14:textFill>
              </w:rPr>
              <w:t>1</w:t>
            </w:r>
          </w:p>
        </w:tc>
        <w:tc>
          <w:tcPr>
            <w:tcW w:w="2574" w:type="dxa"/>
            <w:shd w:val="clear" w:color="auto" w:fill="auto"/>
            <w:vAlign w:val="center"/>
          </w:tcPr>
          <w:p w14:paraId="4B682B94">
            <w:pPr>
              <w:spacing w:line="360" w:lineRule="exact"/>
              <w:jc w:val="center"/>
              <w:rPr>
                <w:rFonts w:ascii="宋体" w:hAnsi="宋体" w:eastAsia="宋体" w:cs="Arial"/>
                <w:color w:val="000000" w:themeColor="text1"/>
                <w:szCs w:val="21"/>
                <w14:textFill>
                  <w14:solidFill>
                    <w14:schemeClr w14:val="tx1"/>
                  </w14:solidFill>
                </w14:textFill>
              </w:rPr>
            </w:pPr>
            <w:r>
              <w:rPr>
                <w:rFonts w:hint="eastAsia" w:ascii="宋体" w:hAnsi="宋体" w:eastAsia="宋体" w:cs="Arial"/>
                <w:color w:val="000000" w:themeColor="text1"/>
                <w:szCs w:val="21"/>
                <w14:textFill>
                  <w14:solidFill>
                    <w14:schemeClr w14:val="tx1"/>
                  </w14:solidFill>
                </w14:textFill>
              </w:rPr>
              <w:t>满足检测鉴定需求，符合国家现行相关标准、规范要求</w:t>
            </w:r>
          </w:p>
        </w:tc>
      </w:tr>
    </w:tbl>
    <w:p w14:paraId="0B2EFDAD">
      <w:pPr>
        <w:spacing w:line="440" w:lineRule="exact"/>
        <w:ind w:firstLine="422" w:firstLineChars="200"/>
        <w:rPr>
          <w:rFonts w:ascii="宋体" w:hAnsi="宋体" w:eastAsia="宋体" w:cs="Arial"/>
          <w:b/>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2、交货期、交货地点</w:t>
      </w:r>
    </w:p>
    <w:p w14:paraId="26AAAE82">
      <w:pPr>
        <w:spacing w:line="440" w:lineRule="exact"/>
        <w:ind w:firstLine="422" w:firstLineChars="200"/>
        <w:rPr>
          <w:color w:val="000000" w:themeColor="text1"/>
          <w:szCs w:val="21"/>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w:t>
      </w:r>
      <w:r>
        <w:rPr>
          <w:rFonts w:hint="eastAsia"/>
          <w:color w:val="000000" w:themeColor="text1"/>
          <w:szCs w:val="21"/>
          <w14:textFill>
            <w14:solidFill>
              <w14:schemeClr w14:val="tx1"/>
            </w14:solidFill>
          </w14:textFill>
        </w:rPr>
        <w:t>（1）交货期：在现场满足检测条件后，①建筑材料检测</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个日历天内出具初步检测结果，</w:t>
      </w:r>
      <w:r>
        <w:rPr>
          <w:color w:val="000000" w:themeColor="text1"/>
          <w:szCs w:val="21"/>
          <w14:textFill>
            <w14:solidFill>
              <w14:schemeClr w14:val="tx1"/>
            </w14:solidFill>
          </w14:textFill>
        </w:rPr>
        <w:t>7</w:t>
      </w:r>
      <w:r>
        <w:rPr>
          <w:rFonts w:hint="eastAsia"/>
          <w:color w:val="000000" w:themeColor="text1"/>
          <w:szCs w:val="21"/>
          <w14:textFill>
            <w14:solidFill>
              <w14:schemeClr w14:val="tx1"/>
            </w14:solidFill>
          </w14:textFill>
        </w:rPr>
        <w:t>个日历天内出具检测报告；②室内环境污染物检测</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个日历天内出具该批次的检测报告，不得因检测工作滞后影响工程进度，检测单位须根据现场施工进度及时开展检测鉴定工作，并分批出具检测数据及成果文件。</w:t>
      </w:r>
    </w:p>
    <w:p w14:paraId="1DBF1048">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（2）送货地点：采购人指定的地点。</w:t>
      </w:r>
    </w:p>
    <w:p w14:paraId="24DECB4F">
      <w:pPr>
        <w:spacing w:line="440" w:lineRule="exact"/>
        <w:ind w:firstLine="422" w:firstLineChars="200"/>
        <w:rPr>
          <w:rFonts w:ascii="宋体" w:hAnsi="宋体" w:eastAsia="宋体" w:cs="Arial"/>
          <w:b/>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3、付款方式</w:t>
      </w:r>
    </w:p>
    <w:p w14:paraId="7B5C0B00">
      <w:pPr>
        <w:spacing w:line="440" w:lineRule="exact"/>
        <w:ind w:firstLine="420" w:firstLineChars="200"/>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（1）本项目不设预付款。合同生效后，经双方确认成交供应商完成检测成果文件达到成交价60%的，成交供应商可申请成交价款50%的进度款，采购人收到成交供应商付款票据资后15 个工作日内完成审核并办理支付；检测服务全部完成且工程竣工验收后，成交供应商提交最终成果报告及完整的结算资料，采购人15 个工作日内完成审核，一次性支付检测费余款。</w:t>
      </w:r>
    </w:p>
    <w:p w14:paraId="52C458F1">
      <w:pPr>
        <w:spacing w:line="440" w:lineRule="exact"/>
        <w:ind w:firstLine="420" w:firstLineChars="200"/>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（2）如因施工单位原因，导致需复验或增加检测鉴定量的，由成交供应商向施工单位要求支付。</w:t>
      </w:r>
    </w:p>
    <w:p w14:paraId="3B0C171A">
      <w:pPr>
        <w:spacing w:line="440" w:lineRule="exact"/>
        <w:ind w:firstLine="420" w:firstLineChars="200"/>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（3）结算原则：</w:t>
      </w:r>
    </w:p>
    <w:p w14:paraId="51FC29E3">
      <w:pPr>
        <w:spacing w:line="440" w:lineRule="exact"/>
        <w:ind w:firstLine="630" w:firstLineChars="300"/>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①《清单报价表》中已有或相类似的检测内容，结算时按《清单报价表》中的综合单价和实际发生的工程量进行结算。</w:t>
      </w:r>
    </w:p>
    <w:p w14:paraId="084F2DAD">
      <w:pPr>
        <w:spacing w:line="440" w:lineRule="exact"/>
        <w:ind w:firstLine="632" w:firstLineChars="300"/>
        <w:rPr>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w:t>
      </w:r>
      <w:r>
        <w:rPr>
          <w:rFonts w:hint="eastAsia"/>
          <w:color w:val="000000" w:themeColor="text1"/>
          <w:szCs w:val="21"/>
          <w:lang w:val="zh-CN"/>
          <w14:textFill>
            <w14:solidFill>
              <w14:schemeClr w14:val="tx1"/>
            </w14:solidFill>
          </w14:textFill>
        </w:rPr>
        <w:t>②《清单报价表》以外的检测内容，结算时单价按照“关于印发《广东省房屋建筑和市政工程质量安全检测收费指导价（第一批）》和《广东省既有房屋建筑安全性鉴定收费指导价》的通知”（粤建检协【2015】8号）对应的指导单价（取低值）及下浮率综合计算（结算单价为：收费指导价（取低值）*（1-下浮率）），工程量按实结算，供应商须在《报价一览表》中填报下浮率，且下浮率不得少于3</w:t>
      </w:r>
      <w:r>
        <w:rPr>
          <w:color w:val="000000" w:themeColor="text1"/>
          <w:szCs w:val="21"/>
          <w:lang w:val="zh-CN"/>
          <w14:textFill>
            <w14:solidFill>
              <w14:schemeClr w14:val="tx1"/>
            </w14:solidFill>
          </w14:textFill>
        </w:rPr>
        <w:t>0%</w:t>
      </w:r>
      <w:r>
        <w:rPr>
          <w:rFonts w:hint="eastAsia"/>
          <w:color w:val="000000" w:themeColor="text1"/>
          <w:szCs w:val="21"/>
          <w:lang w:val="zh-CN"/>
          <w14:textFill>
            <w14:solidFill>
              <w14:schemeClr w14:val="tx1"/>
            </w14:solidFill>
          </w14:textFill>
        </w:rPr>
        <w:t>。</w:t>
      </w:r>
    </w:p>
    <w:p w14:paraId="4311D25A">
      <w:pPr>
        <w:spacing w:line="440" w:lineRule="exact"/>
        <w:ind w:firstLine="630" w:firstLineChars="300"/>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③如遇以上文件都不能涵盖的新增检测内容，则结算单价由双方另行协商确定。</w:t>
      </w:r>
    </w:p>
    <w:p w14:paraId="0A48EB20">
      <w:pPr>
        <w:spacing w:line="440" w:lineRule="exact"/>
        <w:ind w:firstLine="632" w:firstLineChars="300"/>
        <w:rPr>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zh-CN"/>
          <w14:textFill>
            <w14:solidFill>
              <w14:schemeClr w14:val="tx1"/>
            </w14:solidFill>
          </w14:textFill>
        </w:rPr>
        <w:t>★</w:t>
      </w:r>
      <w:r>
        <w:rPr>
          <w:rFonts w:hint="eastAsia"/>
          <w:color w:val="000000" w:themeColor="text1"/>
          <w:szCs w:val="21"/>
          <w:lang w:val="zh-CN"/>
          <w14:textFill>
            <w14:solidFill>
              <w14:schemeClr w14:val="tx1"/>
            </w14:solidFill>
          </w14:textFill>
        </w:rPr>
        <w:t>④当《清单报价表》内的工程量增加或检测内容调整必须使用暂列金时，可由双方协商一致，并以书面形式确定，增加的总金额不得超过暂列金，若超过暂列金则按暂列金结算。</w:t>
      </w:r>
    </w:p>
    <w:p w14:paraId="0CFFAA93">
      <w:pPr>
        <w:spacing w:line="440" w:lineRule="exact"/>
        <w:ind w:firstLine="422" w:firstLineChars="200"/>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4、检测服务内容：</w:t>
      </w:r>
    </w:p>
    <w:p w14:paraId="51C5C8E4">
      <w:pPr>
        <w:spacing w:line="440" w:lineRule="exact"/>
        <w:ind w:firstLine="210" w:firstLineChars="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（1）编制方案：</w:t>
      </w:r>
    </w:p>
    <w:p w14:paraId="045B8D84">
      <w:pPr>
        <w:pStyle w:val="23"/>
        <w:numPr>
          <w:ilvl w:val="0"/>
          <w:numId w:val="2"/>
        </w:numPr>
        <w:spacing w:line="440" w:lineRule="exact"/>
        <w:ind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原始图纸等相关资料调查，了解原设计内容和要求；</w:t>
      </w:r>
    </w:p>
    <w:p w14:paraId="54DD8128">
      <w:pPr>
        <w:pStyle w:val="23"/>
        <w:numPr>
          <w:ilvl w:val="0"/>
          <w:numId w:val="2"/>
        </w:numPr>
        <w:spacing w:line="440" w:lineRule="exact"/>
        <w:ind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施工组织设计文件调查，以根据项目实施进度计划及工期编制检测方案；</w:t>
      </w:r>
    </w:p>
    <w:p w14:paraId="661B6D3E">
      <w:pPr>
        <w:spacing w:line="440" w:lineRule="exact"/>
        <w:ind w:firstLine="210" w:firstLineChars="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（2）检测内容包括但不限于以下内容：</w:t>
      </w:r>
    </w:p>
    <w:p w14:paraId="5E76407F">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lang w:val="zh-CN"/>
          <w14:textFill>
            <w14:solidFill>
              <w14:schemeClr w14:val="tx1"/>
            </w14:solidFill>
          </w14:textFill>
        </w:rPr>
        <w:t xml:space="preserve">① </w:t>
      </w:r>
      <w:r>
        <w:rPr>
          <w:rFonts w:hint="eastAsia"/>
          <w:color w:val="000000" w:themeColor="text1"/>
          <w:szCs w:val="21"/>
          <w14:textFill>
            <w14:solidFill>
              <w14:schemeClr w14:val="tx1"/>
            </w14:solidFill>
          </w14:textFill>
        </w:rPr>
        <w:t>根据《清单报价表》中的内容进行检测；</w:t>
      </w:r>
    </w:p>
    <w:p w14:paraId="4F21DD24">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lang w:val="zh-CN"/>
          <w14:textFill>
            <w14:solidFill>
              <w14:schemeClr w14:val="tx1"/>
            </w14:solidFill>
          </w14:textFill>
        </w:rPr>
        <w:t xml:space="preserve">② </w:t>
      </w:r>
      <w:r>
        <w:rPr>
          <w:rFonts w:hint="eastAsia"/>
          <w:color w:val="000000" w:themeColor="text1"/>
          <w:szCs w:val="21"/>
          <w14:textFill>
            <w14:solidFill>
              <w14:schemeClr w14:val="tx1"/>
            </w14:solidFill>
          </w14:textFill>
        </w:rPr>
        <w:t>根据相关主管部门要求，需要检测的其他内容；</w:t>
      </w:r>
    </w:p>
    <w:p w14:paraId="22DFA01B">
      <w:pPr>
        <w:spacing w:line="440" w:lineRule="exact"/>
        <w:ind w:firstLine="210" w:firstLineChars="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）报告编写：</w:t>
      </w:r>
    </w:p>
    <w:p w14:paraId="404C759F">
      <w:pPr>
        <w:pStyle w:val="23"/>
        <w:spacing w:line="440" w:lineRule="exact"/>
        <w:ind w:left="420" w:firstLine="0"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分析现场检测数据，根据国家、地方、行业相关规范出具检测报告及相关数据。</w:t>
      </w:r>
    </w:p>
    <w:p w14:paraId="5190091C">
      <w:pPr>
        <w:spacing w:line="440" w:lineRule="exact"/>
        <w:ind w:firstLine="422" w:firstLineChars="200"/>
        <w:rPr>
          <w:rFonts w:ascii="宋体" w:hAnsi="宋体" w:eastAsia="宋体" w:cs="Arial"/>
          <w:b/>
          <w:color w:val="000000" w:themeColor="text1"/>
          <w:szCs w:val="21"/>
          <w:lang w:val="zh-CN"/>
          <w14:textFill>
            <w14:solidFill>
              <w14:schemeClr w14:val="tx1"/>
            </w14:solidFill>
          </w14:textFill>
        </w:rPr>
      </w:pPr>
      <w:bookmarkStart w:id="4" w:name="_GoBack"/>
      <w:bookmarkEnd w:id="4"/>
      <w:r>
        <w:rPr>
          <w:rFonts w:hint="eastAsia" w:eastAsia="宋体"/>
          <w:b/>
          <w:bCs/>
          <w:color w:val="000000" w:themeColor="text1"/>
          <w:szCs w:val="21"/>
          <w14:textFill>
            <w14:solidFill>
              <w14:schemeClr w14:val="tx1"/>
            </w14:solidFill>
          </w14:textFill>
        </w:rPr>
        <w:t>5、</w:t>
      </w:r>
      <w:r>
        <w:rPr>
          <w:rFonts w:hint="eastAsia" w:ascii="宋体" w:hAnsi="宋体" w:eastAsia="宋体" w:cs="Arial"/>
          <w:b/>
          <w:color w:val="000000" w:themeColor="text1"/>
          <w:szCs w:val="21"/>
          <w:lang w:val="zh-CN"/>
          <w14:textFill>
            <w14:solidFill>
              <w14:schemeClr w14:val="tx1"/>
            </w14:solidFill>
          </w14:textFill>
        </w:rPr>
        <w:t>其它要求及说明</w:t>
      </w:r>
    </w:p>
    <w:p w14:paraId="27A834EE">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本项目以成交供应商报价为成交价格，成交供应商应按照需求中的品种、数量报价，成交价格已包含供应商提供的检测、鉴定方案全部内容和现行检测、鉴定相关规范、规定要求的本项目必须检测、鉴定所有工作（包括但不限于询价文件、清单报价表内容）所需的检测费、劳务费、材料费、仪器工具使用费、进退场费、交通费、差旅费、试验费、报告编写费、实物工作收费、技术工作收费、参加相关验收的费用、各项管理费，以及所有因对应标段服务工作应交纳的政府规费、利润、税金等全部费用。由于成交供应商原因漏报的项目，均视为成交供应商已计取，并已包含在报价中，采购人不予以追加。</w:t>
      </w:r>
    </w:p>
    <w:p w14:paraId="5159485A">
      <w:pPr>
        <w:spacing w:line="440" w:lineRule="exact"/>
        <w:ind w:firstLine="420" w:firstLineChars="200"/>
        <w:rPr>
          <w:rFonts w:hint="eastAsia"/>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2）成交供应商须根据项目相关资料、规范和相关行政职能部门及采购人要求，结合项目实际情况，编制检测鉴定方案。成交供应商负责将检测鉴定方案报监理单位、设计单位、采购人等相关单位审批同意后实施，及时按方案及相关规定落实检测工作，并积极与工程相关的施工、监理、设计、咨询等相关单位协调，确保不因检测工作滞后影响本工程项目的建设进度和竣工验收，并负责按要求在相关平台报送检测数据（若需）</w:t>
      </w:r>
      <w:r>
        <w:rPr>
          <w:rFonts w:hint="eastAsia"/>
          <w:color w:val="000000" w:themeColor="text1"/>
          <w:szCs w:val="21"/>
          <w:lang w:eastAsia="zh-CN"/>
          <w14:textFill>
            <w14:solidFill>
              <w14:schemeClr w14:val="tx1"/>
            </w14:solidFill>
          </w14:textFill>
        </w:rPr>
        <w:t>。</w:t>
      </w:r>
    </w:p>
    <w:p w14:paraId="245BBEF7">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（3）成交供应商应当自采购人发出成交通知之日起7个日历天内，按照采购人提供的合同样本与采购人洽谈协商，签订书面合同。</w:t>
      </w:r>
    </w:p>
    <w:p w14:paraId="7E828AE3">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（4）采购人不提供住宿、食堂及办公场所，成交供应商必须严格遵守省、市、区及学校治安管理相关规定。</w:t>
      </w:r>
    </w:p>
    <w:p w14:paraId="7716E3AB">
      <w:pPr>
        <w:spacing w:line="440" w:lineRule="exact"/>
        <w:ind w:firstLine="420" w:firstLineChars="20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（5）采购人不接受非成交供应商的查询，也不对不成交原因作出解释。</w:t>
      </w:r>
    </w:p>
    <w:p w14:paraId="4F63F4DA">
      <w:pPr>
        <w:spacing w:line="440" w:lineRule="exact"/>
        <w:ind w:firstLine="420" w:firstLineChars="200"/>
        <w:rPr>
          <w:rFonts w:hint="eastAsia" w:ascii="宋体" w:hAnsi="宋体" w:eastAsia="宋体" w:cs="宋体"/>
          <w:kern w:val="0"/>
          <w:sz w:val="21"/>
          <w:szCs w:val="21"/>
          <w:lang w:val="en-US" w:eastAsia="zh-CN" w:bidi="ar-SA"/>
        </w:rPr>
      </w:pPr>
      <w:r>
        <w:rPr>
          <w:rFonts w:hint="eastAsia"/>
          <w:color w:val="000000" w:themeColor="text1"/>
          <w:szCs w:val="21"/>
          <w:lang w:val="en-US" w:eastAsia="zh-CN"/>
          <w14:textFill>
            <w14:solidFill>
              <w14:schemeClr w14:val="tx1"/>
            </w14:solidFill>
          </w14:textFill>
        </w:rPr>
        <w:t>（6）</w:t>
      </w:r>
      <w:r>
        <w:rPr>
          <w:rFonts w:hint="eastAsia" w:ascii="宋体" w:hAnsi="宋体" w:eastAsia="宋体" w:cs="宋体"/>
          <w:kern w:val="0"/>
          <w:sz w:val="21"/>
          <w:szCs w:val="21"/>
          <w:lang w:val="en-US" w:eastAsia="zh-CN" w:bidi="ar-SA"/>
        </w:rPr>
        <w:t>本项目属于专门面向中小微企业采购的项目。</w:t>
      </w:r>
    </w:p>
    <w:p w14:paraId="7612204F">
      <w:pPr>
        <w:pStyle w:val="13"/>
        <w:rPr>
          <w:rFonts w:hint="eastAsia"/>
        </w:rPr>
      </w:pPr>
    </w:p>
    <w:p w14:paraId="25B9C2D0">
      <w:pPr>
        <w:pStyle w:val="12"/>
        <w:spacing w:before="0" w:beforeAutospacing="0" w:after="0" w:afterAutospacing="0" w:line="440" w:lineRule="exact"/>
        <w:jc w:val="both"/>
        <w:rPr>
          <w:rFonts w:cs="Arial"/>
          <w:b/>
          <w:szCs w:val="21"/>
          <w:lang w:val="zh-CN"/>
        </w:rPr>
      </w:pPr>
      <w:r>
        <w:rPr>
          <w:rFonts w:hint="eastAsia" w:cs="Arial"/>
          <w:b/>
          <w:szCs w:val="21"/>
          <w:lang w:val="zh-CN"/>
        </w:rPr>
        <w:t>四、报价文件要求</w:t>
      </w:r>
    </w:p>
    <w:p w14:paraId="6619A8A7">
      <w:pPr>
        <w:pStyle w:val="12"/>
        <w:spacing w:before="0" w:beforeAutospacing="0" w:after="0" w:afterAutospacing="0" w:line="440" w:lineRule="exact"/>
        <w:ind w:firstLine="422" w:firstLineChars="200"/>
        <w:jc w:val="both"/>
        <w:rPr>
          <w:sz w:val="21"/>
          <w:szCs w:val="21"/>
        </w:rPr>
      </w:pPr>
      <w:r>
        <w:rPr>
          <w:rFonts w:hint="eastAsia"/>
          <w:b/>
          <w:sz w:val="21"/>
          <w:szCs w:val="21"/>
        </w:rPr>
        <w:t>报价文件内容应包括但不限于</w:t>
      </w:r>
      <w:r>
        <w:rPr>
          <w:rFonts w:hint="eastAsia"/>
          <w:b/>
          <w:sz w:val="21"/>
          <w:szCs w:val="21"/>
          <w:lang w:val="en-US" w:eastAsia="zh-CN"/>
        </w:rPr>
        <w:t>以下内容</w:t>
      </w:r>
      <w:r>
        <w:rPr>
          <w:rFonts w:hint="eastAsia"/>
          <w:b/>
          <w:sz w:val="21"/>
          <w:szCs w:val="21"/>
        </w:rPr>
        <w:t>：</w:t>
      </w:r>
    </w:p>
    <w:p w14:paraId="3F693BCA">
      <w:pPr>
        <w:spacing w:line="440" w:lineRule="exact"/>
        <w:ind w:firstLine="420" w:firstLineChars="200"/>
        <w:rPr>
          <w:szCs w:val="21"/>
        </w:rPr>
      </w:pPr>
      <w:r>
        <w:rPr>
          <w:rFonts w:hint="eastAsia"/>
          <w:szCs w:val="21"/>
        </w:rPr>
        <w:t>1、报价函、企业法定代表人身份证明及其报价授权书等（详见询价文件附件格式文件）；</w:t>
      </w:r>
    </w:p>
    <w:p w14:paraId="0A0A1FC9">
      <w:pPr>
        <w:spacing w:line="440" w:lineRule="exact"/>
        <w:ind w:firstLine="420" w:firstLineChars="200"/>
        <w:rPr>
          <w:szCs w:val="21"/>
        </w:rPr>
      </w:pPr>
      <w:r>
        <w:rPr>
          <w:rFonts w:hint="eastAsia"/>
          <w:szCs w:val="21"/>
        </w:rPr>
        <w:t>2、报价一览表及清单报价表、实质性响应一览表（详见询价文件附件格式文件）；</w:t>
      </w:r>
    </w:p>
    <w:p w14:paraId="1F13AB61">
      <w:pPr>
        <w:spacing w:line="440" w:lineRule="exact"/>
        <w:ind w:firstLine="420" w:firstLineChars="200"/>
        <w:rPr>
          <w:szCs w:val="21"/>
        </w:rPr>
      </w:pPr>
      <w:r>
        <w:rPr>
          <w:rFonts w:hint="eastAsia"/>
          <w:szCs w:val="21"/>
        </w:rPr>
        <w:t>3、</w:t>
      </w:r>
      <w:r>
        <w:rPr>
          <w:rFonts w:hint="eastAsia"/>
          <w:szCs w:val="21"/>
          <w:lang w:val="en-US" w:eastAsia="zh-CN"/>
        </w:rPr>
        <w:t>企业</w:t>
      </w:r>
      <w:r>
        <w:rPr>
          <w:rFonts w:hint="eastAsia"/>
          <w:szCs w:val="21"/>
        </w:rPr>
        <w:t>营业执照复印件；</w:t>
      </w:r>
    </w:p>
    <w:p w14:paraId="424CB58C">
      <w:pPr>
        <w:spacing w:line="440" w:lineRule="exact"/>
        <w:ind w:firstLine="420" w:firstLineChars="200"/>
        <w:rPr>
          <w:szCs w:val="21"/>
        </w:rPr>
      </w:pPr>
      <w:r>
        <w:rPr>
          <w:rFonts w:hint="eastAsia"/>
          <w:szCs w:val="21"/>
        </w:rPr>
        <w:t>4、建设工程质量检测机构资质证书复印件；</w:t>
      </w:r>
    </w:p>
    <w:p w14:paraId="73699AC1">
      <w:pPr>
        <w:spacing w:line="440" w:lineRule="exact"/>
        <w:ind w:firstLine="420" w:firstLineChars="200"/>
        <w:rPr>
          <w:szCs w:val="21"/>
        </w:rPr>
      </w:pPr>
      <w:r>
        <w:rPr>
          <w:rFonts w:hint="eastAsia"/>
          <w:szCs w:val="21"/>
          <w:lang w:val="en-US" w:eastAsia="zh-CN"/>
        </w:rPr>
        <w:t>5</w:t>
      </w:r>
      <w:r>
        <w:rPr>
          <w:rFonts w:hint="eastAsia"/>
          <w:szCs w:val="21"/>
        </w:rPr>
        <w:t>、</w:t>
      </w:r>
      <w:r>
        <w:rPr>
          <w:rFonts w:hint="eastAsia"/>
          <w:bCs/>
          <w:szCs w:val="21"/>
        </w:rPr>
        <w:t>20</w:t>
      </w:r>
      <w:r>
        <w:rPr>
          <w:bCs/>
          <w:szCs w:val="21"/>
        </w:rPr>
        <w:t>2</w:t>
      </w:r>
      <w:r>
        <w:rPr>
          <w:rFonts w:hint="eastAsia"/>
          <w:bCs/>
          <w:szCs w:val="21"/>
          <w:lang w:val="en-US" w:eastAsia="zh-CN"/>
        </w:rPr>
        <w:t>3</w:t>
      </w:r>
      <w:r>
        <w:rPr>
          <w:rFonts w:hint="eastAsia"/>
          <w:bCs/>
          <w:szCs w:val="21"/>
        </w:rPr>
        <w:t>年1月1日以来含空气污染物检测的同类业绩证明材料，须提供检测服务合同和检验报告关键页</w:t>
      </w:r>
      <w:r>
        <w:rPr>
          <w:rFonts w:hint="eastAsia"/>
          <w:szCs w:val="21"/>
        </w:rPr>
        <w:t>（须体现项目名称、合同金额与签订合同双方的落款盖章、签订日期关键信息、检测成果封面、项目成员签字页、目录和结论页复印件等）；</w:t>
      </w:r>
    </w:p>
    <w:p w14:paraId="24013A93">
      <w:pPr>
        <w:spacing w:line="440" w:lineRule="exact"/>
        <w:ind w:firstLine="420" w:firstLineChars="200"/>
        <w:rPr>
          <w:szCs w:val="21"/>
        </w:rPr>
      </w:pPr>
      <w:r>
        <w:rPr>
          <w:rFonts w:hint="eastAsia"/>
          <w:szCs w:val="21"/>
          <w:lang w:val="en-US" w:eastAsia="zh-CN"/>
        </w:rPr>
        <w:t>6</w:t>
      </w:r>
      <w:r>
        <w:rPr>
          <w:rFonts w:hint="eastAsia"/>
          <w:szCs w:val="21"/>
        </w:rPr>
        <w:t>、项目组成员相关执业资格证件复印件（包括执业注册证书复印件、截止之日前6个月内任意一个月的社保缴纳证明材料复印件并加盖供应商公章）；</w:t>
      </w:r>
    </w:p>
    <w:p w14:paraId="1B7DAADE">
      <w:pPr>
        <w:spacing w:line="440" w:lineRule="exact"/>
        <w:ind w:firstLine="420" w:firstLineChars="200"/>
        <w:rPr>
          <w:rFonts w:hint="eastAsia"/>
          <w:szCs w:val="21"/>
        </w:rPr>
      </w:pPr>
      <w:r>
        <w:rPr>
          <w:rFonts w:hint="eastAsia"/>
          <w:szCs w:val="21"/>
          <w:lang w:val="en-US" w:eastAsia="zh-CN"/>
        </w:rPr>
        <w:t>7</w:t>
      </w:r>
      <w:r>
        <w:rPr>
          <w:rFonts w:hint="eastAsia"/>
          <w:szCs w:val="21"/>
        </w:rPr>
        <w:t>、</w:t>
      </w:r>
      <w:r>
        <w:rPr>
          <w:rFonts w:hint="eastAsia"/>
          <w:szCs w:val="21"/>
          <w:lang w:val="en-US" w:eastAsia="zh-CN"/>
        </w:rPr>
        <w:t>第二条第2点供应商要求相关资料及</w:t>
      </w:r>
      <w:r>
        <w:rPr>
          <w:rFonts w:hint="eastAsia"/>
          <w:szCs w:val="21"/>
        </w:rPr>
        <w:t>询价文件格式文件</w:t>
      </w:r>
      <w:r>
        <w:rPr>
          <w:rFonts w:hint="eastAsia"/>
          <w:szCs w:val="21"/>
          <w:lang w:val="en-US" w:eastAsia="zh-CN"/>
        </w:rPr>
        <w:t>等</w:t>
      </w:r>
      <w:r>
        <w:rPr>
          <w:rFonts w:hint="eastAsia"/>
          <w:szCs w:val="21"/>
        </w:rPr>
        <w:t>；</w:t>
      </w:r>
    </w:p>
    <w:p w14:paraId="27D275DA">
      <w:pPr>
        <w:spacing w:line="440" w:lineRule="exact"/>
        <w:ind w:firstLine="420" w:firstLineChars="200"/>
        <w:rPr>
          <w:rFonts w:hint="default" w:eastAsiaTheme="minorEastAsia"/>
          <w:szCs w:val="21"/>
          <w:lang w:val="en-US" w:eastAsia="zh-CN"/>
        </w:rPr>
      </w:pPr>
      <w:r>
        <w:rPr>
          <w:rFonts w:hint="eastAsia"/>
          <w:szCs w:val="21"/>
          <w:lang w:val="en-US" w:eastAsia="zh-CN"/>
        </w:rPr>
        <w:t>8、供应商</w:t>
      </w:r>
      <w:r>
        <w:rPr>
          <w:rFonts w:hint="eastAsia" w:ascii="宋体" w:hAnsi="宋体" w:cs="宋体"/>
          <w:sz w:val="24"/>
          <w:lang w:val="en-US" w:eastAsia="zh-CN"/>
        </w:rPr>
        <w:t>认为有必要提交的其它资料。</w:t>
      </w:r>
    </w:p>
    <w:p w14:paraId="08E6A4A4">
      <w:pPr>
        <w:spacing w:line="440" w:lineRule="exact"/>
        <w:ind w:firstLine="482" w:firstLineChars="200"/>
        <w:rPr>
          <w:rFonts w:hint="eastAsia" w:eastAsiaTheme="minorEastAsia"/>
          <w:b/>
          <w:bCs/>
          <w:szCs w:val="21"/>
          <w:lang w:eastAsia="zh-CN"/>
        </w:rPr>
      </w:pPr>
      <w:r>
        <w:rPr>
          <w:rFonts w:hint="eastAsia" w:ascii="宋体" w:hAnsi="宋体" w:cs="宋体"/>
          <w:b/>
          <w:sz w:val="24"/>
        </w:rPr>
        <w:t>上述各项内容均为报价文件必备内容，缺失将</w:t>
      </w:r>
      <w:r>
        <w:rPr>
          <w:rFonts w:hint="eastAsia" w:ascii="宋体" w:hAnsi="宋体" w:cs="宋体"/>
          <w:b/>
          <w:sz w:val="24"/>
          <w:lang w:val="en-US" w:eastAsia="zh-CN"/>
        </w:rPr>
        <w:t>按不满足采购需求</w:t>
      </w:r>
      <w:r>
        <w:rPr>
          <w:rFonts w:hint="eastAsia" w:ascii="宋体" w:hAnsi="宋体" w:cs="宋体"/>
          <w:b/>
          <w:sz w:val="24"/>
        </w:rPr>
        <w:t>处理。报价文件各项内容须加盖供应商公章</w:t>
      </w:r>
      <w:r>
        <w:rPr>
          <w:rFonts w:hint="eastAsia" w:ascii="宋体" w:hAnsi="宋体" w:cs="宋体"/>
          <w:b/>
          <w:sz w:val="24"/>
          <w:lang w:eastAsia="zh-CN"/>
        </w:rPr>
        <w:t>。</w:t>
      </w:r>
    </w:p>
    <w:p w14:paraId="7833D910">
      <w:pPr>
        <w:spacing w:line="440" w:lineRule="exact"/>
        <w:rPr>
          <w:rFonts w:hint="eastAsia" w:ascii="宋体" w:hAnsi="宋体" w:eastAsia="宋体" w:cs="Arial"/>
          <w:b/>
          <w:color w:val="000000" w:themeColor="text1"/>
          <w:szCs w:val="21"/>
          <w:lang w:val="zh-CN"/>
          <w14:textFill>
            <w14:solidFill>
              <w14:schemeClr w14:val="tx1"/>
            </w14:solidFill>
          </w14:textFill>
        </w:rPr>
      </w:pPr>
    </w:p>
    <w:p w14:paraId="795C713F">
      <w:pPr>
        <w:spacing w:line="440" w:lineRule="exact"/>
        <w:rPr>
          <w:rFonts w:ascii="宋体" w:hAnsi="宋体" w:eastAsia="宋体" w:cs="Arial"/>
          <w:b/>
          <w:color w:val="000000" w:themeColor="text1"/>
          <w:szCs w:val="21"/>
          <w:lang w:val="zh-CN"/>
          <w14:textFill>
            <w14:solidFill>
              <w14:schemeClr w14:val="tx1"/>
            </w14:solidFill>
          </w14:textFill>
        </w:rPr>
      </w:pPr>
      <w:r>
        <w:rPr>
          <w:rFonts w:hint="eastAsia" w:ascii="宋体" w:hAnsi="宋体" w:eastAsia="宋体" w:cs="Arial"/>
          <w:b/>
          <w:color w:val="000000" w:themeColor="text1"/>
          <w:szCs w:val="21"/>
          <w:lang w:val="en-US" w:eastAsia="zh-CN"/>
          <w14:textFill>
            <w14:solidFill>
              <w14:schemeClr w14:val="tx1"/>
            </w14:solidFill>
          </w14:textFill>
        </w:rPr>
        <w:t>五</w:t>
      </w:r>
      <w:r>
        <w:rPr>
          <w:rFonts w:hint="eastAsia" w:ascii="宋体" w:hAnsi="宋体" w:eastAsia="宋体" w:cs="Arial"/>
          <w:b/>
          <w:color w:val="000000" w:themeColor="text1"/>
          <w:szCs w:val="21"/>
          <w:lang w:val="zh-CN"/>
          <w14:textFill>
            <w14:solidFill>
              <w14:schemeClr w14:val="tx1"/>
            </w14:solidFill>
          </w14:textFill>
        </w:rPr>
        <w:t>、评议办法</w:t>
      </w:r>
    </w:p>
    <w:p w14:paraId="076A16FF">
      <w:pPr>
        <w:spacing w:line="440" w:lineRule="exact"/>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项目评议时不须供应商参加，根据询价文件要求及报价文件内容进行评议，在满足采购需求的前提下，按“价低者得”的原则确定成交供应商，报价最低的供应商为成交供应商，若多家供应商报价相同且最低，则其中《报价一览表》中填报的下浮率最大者为成交供应商。评议工作结束后，评议结果将在广州大学采购管理信息平台网站进行公告。</w:t>
      </w:r>
    </w:p>
    <w:p w14:paraId="0073834E">
      <w:pPr>
        <w:rPr>
          <w:rFonts w:ascii="宋体" w:hAnsi="宋体" w:cs="Arial"/>
          <w:b/>
          <w:bCs/>
          <w:color w:val="000000" w:themeColor="text1"/>
          <w:sz w:val="28"/>
          <w:szCs w:val="28"/>
          <w:lang w:val="zh-CN"/>
          <w14:textFill>
            <w14:solidFill>
              <w14:schemeClr w14:val="tx1"/>
            </w14:solidFill>
          </w14:textFill>
        </w:rPr>
      </w:pPr>
      <w:r>
        <w:rPr>
          <w:rFonts w:hint="eastAsia" w:ascii="宋体" w:hAnsi="宋体" w:cs="Arial"/>
          <w:b/>
          <w:bCs/>
          <w:color w:val="000000" w:themeColor="text1"/>
          <w:sz w:val="28"/>
          <w:szCs w:val="28"/>
          <w:lang w:val="zh-CN"/>
          <w14:textFill>
            <w14:solidFill>
              <w14:schemeClr w14:val="tx1"/>
            </w14:solidFill>
          </w14:textFill>
        </w:rPr>
        <w:br w:type="page"/>
      </w:r>
    </w:p>
    <w:p w14:paraId="4E1C5255">
      <w:pPr>
        <w:spacing w:line="440" w:lineRule="exact"/>
        <w:ind w:firstLine="843" w:firstLineChars="300"/>
        <w:jc w:val="center"/>
        <w:rPr>
          <w:rFonts w:ascii="宋体" w:hAnsi="宋体"/>
          <w:b/>
          <w:bCs/>
          <w:color w:val="000000" w:themeColor="text1"/>
          <w:sz w:val="28"/>
          <w:szCs w:val="28"/>
          <w14:textFill>
            <w14:solidFill>
              <w14:schemeClr w14:val="tx1"/>
            </w14:solidFill>
          </w14:textFill>
        </w:rPr>
      </w:pPr>
      <w:r>
        <w:rPr>
          <w:rFonts w:hint="eastAsia" w:ascii="宋体" w:hAnsi="宋体" w:cs="Arial"/>
          <w:b/>
          <w:bCs/>
          <w:color w:val="000000" w:themeColor="text1"/>
          <w:sz w:val="28"/>
          <w:szCs w:val="28"/>
          <w:lang w:val="zh-CN"/>
          <w14:textFill>
            <w14:solidFill>
              <w14:schemeClr w14:val="tx1"/>
            </w14:solidFill>
          </w14:textFill>
        </w:rPr>
        <w:t>格式1</w:t>
      </w:r>
      <w:r>
        <w:rPr>
          <w:rFonts w:hint="eastAsia" w:ascii="宋体" w:hAnsi="宋体"/>
          <w:b/>
          <w:bCs/>
          <w:color w:val="000000" w:themeColor="text1"/>
          <w:sz w:val="28"/>
          <w:szCs w:val="28"/>
          <w14:textFill>
            <w14:solidFill>
              <w14:schemeClr w14:val="tx1"/>
            </w14:solidFill>
          </w14:textFill>
        </w:rPr>
        <w:t xml:space="preserve"> 报价函</w:t>
      </w:r>
    </w:p>
    <w:p w14:paraId="26D356B4">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广州大学：</w:t>
      </w:r>
    </w:p>
    <w:p w14:paraId="4AF4BD27">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我方收到贵方关于“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”的采购文件，完全理解采购文件的所有内容。决定报价本项目，报价为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元，据此我方承诺如下：</w:t>
      </w:r>
    </w:p>
    <w:p w14:paraId="1BAD44D0">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一、我方的报价文件在报价截止日后90天（日历天）内保持有效，如成交，有效期将延至本项目《采购合同》执行期满日为止。</w:t>
      </w:r>
    </w:p>
    <w:p w14:paraId="01A181C1">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w:t>
      </w:r>
      <w:r>
        <w:rPr>
          <w:rFonts w:ascii="宋体" w:hAnsi="宋体"/>
          <w:color w:val="000000" w:themeColor="text1"/>
          <w:sz w:val="24"/>
          <w14:textFill>
            <w14:solidFill>
              <w14:schemeClr w14:val="tx1"/>
            </w14:solidFill>
          </w14:textFill>
        </w:rPr>
        <w:t>我方在参与报价前已仔细研究了采购文件和所有相关资料，我方完全明白并认为此采购文件没有倾向性，也没有存在排斥潜在供应商的内容，我方同意采购文件的相关条款，放弃对采购文件提出误解</w:t>
      </w:r>
      <w:r>
        <w:rPr>
          <w:rFonts w:hint="eastAsia" w:ascii="宋体" w:hAnsi="宋体"/>
          <w:color w:val="000000" w:themeColor="text1"/>
          <w:sz w:val="24"/>
          <w14:textFill>
            <w14:solidFill>
              <w14:schemeClr w14:val="tx1"/>
            </w14:solidFill>
          </w14:textFill>
        </w:rPr>
        <w:t>和异议</w:t>
      </w:r>
      <w:r>
        <w:rPr>
          <w:rFonts w:ascii="宋体" w:hAnsi="宋体"/>
          <w:color w:val="000000" w:themeColor="text1"/>
          <w:sz w:val="24"/>
          <w14:textFill>
            <w14:solidFill>
              <w14:schemeClr w14:val="tx1"/>
            </w14:solidFill>
          </w14:textFill>
        </w:rPr>
        <w:t>的一切权</w:t>
      </w:r>
      <w:r>
        <w:rPr>
          <w:rFonts w:hint="eastAsia" w:ascii="宋体" w:hAnsi="宋体"/>
          <w:color w:val="000000" w:themeColor="text1"/>
          <w:sz w:val="24"/>
          <w14:textFill>
            <w14:solidFill>
              <w14:schemeClr w14:val="tx1"/>
            </w14:solidFill>
          </w14:textFill>
        </w:rPr>
        <w:t>利</w:t>
      </w:r>
      <w:r>
        <w:rPr>
          <w:rFonts w:ascii="宋体" w:hAnsi="宋体"/>
          <w:color w:val="000000" w:themeColor="text1"/>
          <w:sz w:val="24"/>
          <w14:textFill>
            <w14:solidFill>
              <w14:schemeClr w14:val="tx1"/>
            </w14:solidFill>
          </w14:textFill>
        </w:rPr>
        <w:t>。</w:t>
      </w:r>
    </w:p>
    <w:p w14:paraId="10BD70C4">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三、我方声明报价文件及所提供的一切资料均真实无误及有效。由于我方提供资料不实而造成的责任和后果由我方承担。我方同意按照贵方提出的要求，提供与报价有关的任何其它数据或信息。</w:t>
      </w:r>
    </w:p>
    <w:p w14:paraId="4DBB41A7">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四、我方理解贵方不一定接受最低报价的报价。</w:t>
      </w:r>
    </w:p>
    <w:p w14:paraId="2132D215">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五、我方同意如在本项目开标后、报价有效期之内撤回报价，或成交后未在规定期限内签订合同并送贵方备案的，贵方将不退还报价保证金。</w:t>
      </w:r>
    </w:p>
    <w:p w14:paraId="442BF069">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六、我方如果成交，保证履行报价文件中承诺的全部责任和义务，切实履行采购合同中的全部条款。</w:t>
      </w:r>
    </w:p>
    <w:p w14:paraId="1FE2D9F6">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七、我方保证，采购人在中华人民共和国境内使用我方报价货物、资料、技术、服务或其任何一部分时，享有不受限制的无偿使用权，如有第三方向采购人提出侵犯其专利权、商标权或其它知识产权的主张，该责任由我方承担。我方的报价报价已包含所有应向所有权人支付的专利权、商标权或其它知识产权的一切相关费用。</w:t>
      </w:r>
    </w:p>
    <w:p w14:paraId="0B7B48A8">
      <w:pPr>
        <w:tabs>
          <w:tab w:val="left" w:pos="9450"/>
        </w:tabs>
        <w:spacing w:line="336" w:lineRule="auto"/>
        <w:ind w:right="84" w:rightChars="40"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八、所有与本采购项目有关的函件请发往下列地址：</w:t>
      </w:r>
    </w:p>
    <w:tbl>
      <w:tblPr>
        <w:tblStyle w:val="14"/>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420"/>
        <w:gridCol w:w="1800"/>
        <w:gridCol w:w="900"/>
        <w:gridCol w:w="1280"/>
      </w:tblGrid>
      <w:tr w14:paraId="65B8A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20" w:type="dxa"/>
          </w:tcPr>
          <w:p w14:paraId="10940E5A">
            <w:pPr>
              <w:tabs>
                <w:tab w:val="left" w:pos="0"/>
              </w:tabs>
              <w:spacing w:line="360" w:lineRule="auto"/>
              <w:ind w:right="25" w:rightChars="1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地址（邮编）</w:t>
            </w:r>
          </w:p>
        </w:tc>
        <w:tc>
          <w:tcPr>
            <w:tcW w:w="5220" w:type="dxa"/>
            <w:gridSpan w:val="2"/>
          </w:tcPr>
          <w:p w14:paraId="1028CA3F">
            <w:pPr>
              <w:tabs>
                <w:tab w:val="left" w:pos="0"/>
              </w:tabs>
              <w:spacing w:line="360" w:lineRule="auto"/>
              <w:ind w:right="25" w:rightChars="12"/>
              <w:rPr>
                <w:rFonts w:ascii="宋体" w:hAnsi="宋体"/>
                <w:color w:val="000000" w:themeColor="text1"/>
                <w:sz w:val="24"/>
                <w14:textFill>
                  <w14:solidFill>
                    <w14:schemeClr w14:val="tx1"/>
                  </w14:solidFill>
                </w14:textFill>
              </w:rPr>
            </w:pPr>
          </w:p>
        </w:tc>
        <w:tc>
          <w:tcPr>
            <w:tcW w:w="900" w:type="dxa"/>
          </w:tcPr>
          <w:p w14:paraId="12CCF20A">
            <w:pPr>
              <w:tabs>
                <w:tab w:val="left" w:pos="0"/>
              </w:tabs>
              <w:spacing w:line="360" w:lineRule="auto"/>
              <w:ind w:right="25" w:rightChars="1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传真</w:t>
            </w:r>
          </w:p>
        </w:tc>
        <w:tc>
          <w:tcPr>
            <w:tcW w:w="1280" w:type="dxa"/>
          </w:tcPr>
          <w:p w14:paraId="6B86661C">
            <w:pPr>
              <w:tabs>
                <w:tab w:val="left" w:pos="0"/>
              </w:tabs>
              <w:spacing w:line="360" w:lineRule="auto"/>
              <w:ind w:right="25" w:rightChars="12"/>
              <w:rPr>
                <w:rFonts w:ascii="宋体" w:hAnsi="宋体"/>
                <w:color w:val="000000" w:themeColor="text1"/>
                <w:sz w:val="24"/>
                <w14:textFill>
                  <w14:solidFill>
                    <w14:schemeClr w14:val="tx1"/>
                  </w14:solidFill>
                </w14:textFill>
              </w:rPr>
            </w:pPr>
          </w:p>
        </w:tc>
      </w:tr>
      <w:tr w14:paraId="7DDA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20" w:type="dxa"/>
          </w:tcPr>
          <w:p w14:paraId="6FDBA657">
            <w:pPr>
              <w:tabs>
                <w:tab w:val="left" w:pos="0"/>
              </w:tabs>
              <w:spacing w:line="360" w:lineRule="auto"/>
              <w:ind w:right="25" w:rightChars="1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电话、手机</w:t>
            </w:r>
          </w:p>
        </w:tc>
        <w:tc>
          <w:tcPr>
            <w:tcW w:w="3420" w:type="dxa"/>
          </w:tcPr>
          <w:p w14:paraId="5F4D2384">
            <w:pPr>
              <w:tabs>
                <w:tab w:val="left" w:pos="0"/>
              </w:tabs>
              <w:spacing w:line="360" w:lineRule="auto"/>
              <w:ind w:right="25" w:rightChars="12"/>
              <w:rPr>
                <w:rFonts w:ascii="宋体" w:hAnsi="宋体"/>
                <w:color w:val="000000" w:themeColor="text1"/>
                <w:sz w:val="24"/>
                <w14:textFill>
                  <w14:solidFill>
                    <w14:schemeClr w14:val="tx1"/>
                  </w14:solidFill>
                </w14:textFill>
              </w:rPr>
            </w:pPr>
          </w:p>
        </w:tc>
        <w:tc>
          <w:tcPr>
            <w:tcW w:w="1800" w:type="dxa"/>
          </w:tcPr>
          <w:p w14:paraId="4166AC48">
            <w:pPr>
              <w:tabs>
                <w:tab w:val="left" w:pos="0"/>
              </w:tabs>
              <w:spacing w:line="360" w:lineRule="auto"/>
              <w:ind w:right="25" w:rightChars="12"/>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联系人（职务）</w:t>
            </w:r>
          </w:p>
        </w:tc>
        <w:tc>
          <w:tcPr>
            <w:tcW w:w="2180" w:type="dxa"/>
            <w:gridSpan w:val="2"/>
          </w:tcPr>
          <w:p w14:paraId="0B46CDB1">
            <w:pPr>
              <w:tabs>
                <w:tab w:val="left" w:pos="0"/>
              </w:tabs>
              <w:spacing w:line="360" w:lineRule="auto"/>
              <w:ind w:right="25" w:rightChars="12"/>
              <w:rPr>
                <w:rFonts w:ascii="宋体" w:hAnsi="宋体"/>
                <w:color w:val="000000" w:themeColor="text1"/>
                <w:sz w:val="24"/>
                <w14:textFill>
                  <w14:solidFill>
                    <w14:schemeClr w14:val="tx1"/>
                  </w14:solidFill>
                </w14:textFill>
              </w:rPr>
            </w:pPr>
          </w:p>
        </w:tc>
      </w:tr>
    </w:tbl>
    <w:p w14:paraId="01E1AB0D">
      <w:pPr>
        <w:spacing w:line="360" w:lineRule="auto"/>
        <w:ind w:right="84" w:rightChars="40" w:firstLine="4080" w:firstLineChars="1700"/>
        <w:rPr>
          <w:rFonts w:ascii="宋体" w:hAnsi="宋体"/>
          <w:color w:val="000000" w:themeColor="text1"/>
          <w:sz w:val="24"/>
          <w14:textFill>
            <w14:solidFill>
              <w14:schemeClr w14:val="tx1"/>
            </w14:solidFill>
          </w14:textFill>
        </w:rPr>
      </w:pPr>
    </w:p>
    <w:p w14:paraId="36889D43">
      <w:pPr>
        <w:spacing w:line="360" w:lineRule="auto"/>
        <w:ind w:right="84" w:rightChars="40" w:firstLine="5040" w:firstLineChars="2400"/>
        <w:rPr>
          <w:rFonts w:ascii="宋体" w:hAnsi="宋体"/>
          <w:color w:val="000000" w:themeColor="text1"/>
          <w:sz w:val="24"/>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供应商名称</w:t>
      </w:r>
      <w:r>
        <w:rPr>
          <w:rFonts w:hint="eastAsia" w:ascii="宋体" w:hAnsi="宋体"/>
          <w:color w:val="000000" w:themeColor="text1"/>
          <w:sz w:val="24"/>
          <w14:textFill>
            <w14:solidFill>
              <w14:schemeClr w14:val="tx1"/>
            </w14:solidFill>
          </w14:textFill>
        </w:rPr>
        <w:t>：（盖章）</w:t>
      </w:r>
    </w:p>
    <w:p w14:paraId="0EB0A63A">
      <w:pPr>
        <w:spacing w:line="360" w:lineRule="auto"/>
        <w:ind w:right="84" w:rightChars="40" w:firstLine="4080" w:firstLineChars="1700"/>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承诺日期：</w:t>
      </w:r>
      <w:r>
        <w:rPr>
          <w:rFonts w:hint="eastAsia" w:ascii="宋体" w:hAnsi="宋体" w:cs="Arial"/>
          <w:color w:val="000000" w:themeColor="text1"/>
          <w:sz w:val="24"/>
          <w14:textFill>
            <w14:solidFill>
              <w14:schemeClr w14:val="tx1"/>
            </w14:solidFill>
          </w14:textFill>
        </w:rPr>
        <w:t>20  年   月   日</w:t>
      </w:r>
    </w:p>
    <w:p w14:paraId="4BF52737">
      <w:pPr>
        <w:spacing w:line="360" w:lineRule="auto"/>
        <w:ind w:right="84" w:rightChars="40" w:firstLine="4080" w:firstLineChars="1700"/>
        <w:rPr>
          <w:rFonts w:ascii="宋体" w:hAnsi="宋体"/>
          <w:color w:val="000000" w:themeColor="text1"/>
          <w:sz w:val="24"/>
          <w14:textFill>
            <w14:solidFill>
              <w14:schemeClr w14:val="tx1"/>
            </w14:solidFill>
          </w14:textFill>
        </w:rPr>
      </w:pPr>
    </w:p>
    <w:p w14:paraId="6D6E99EB">
      <w:pPr>
        <w:spacing w:line="360" w:lineRule="auto"/>
        <w:ind w:right="84" w:rightChars="40"/>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说明：</w:t>
      </w:r>
      <w:r>
        <w:rPr>
          <w:rFonts w:ascii="宋体" w:hAnsi="宋体" w:cs="Arial"/>
          <w:bCs/>
          <w:color w:val="000000" w:themeColor="text1"/>
          <w:sz w:val="24"/>
          <w14:textFill>
            <w14:solidFill>
              <w14:schemeClr w14:val="tx1"/>
            </w14:solidFill>
          </w14:textFill>
        </w:rPr>
        <w:t>本格式文件内容不得擅自删改。</w:t>
      </w:r>
    </w:p>
    <w:p w14:paraId="6F06EBD7">
      <w:pPr>
        <w:pStyle w:val="13"/>
        <w:ind w:firstLine="240"/>
        <w:rPr>
          <w:color w:val="000000" w:themeColor="text1"/>
          <w14:textFill>
            <w14:solidFill>
              <w14:schemeClr w14:val="tx1"/>
            </w14:solidFill>
          </w14:textFill>
        </w:rPr>
      </w:pPr>
    </w:p>
    <w:p w14:paraId="2A4895E5">
      <w:pPr>
        <w:spacing w:line="440"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Arial"/>
          <w:b/>
          <w:bCs/>
          <w:color w:val="000000" w:themeColor="text1"/>
          <w:sz w:val="28"/>
          <w:szCs w:val="28"/>
          <w:lang w:val="zh-CN"/>
          <w14:textFill>
            <w14:solidFill>
              <w14:schemeClr w14:val="tx1"/>
            </w14:solidFill>
          </w14:textFill>
        </w:rPr>
        <w:t xml:space="preserve">格式2 </w:t>
      </w:r>
      <w:r>
        <w:rPr>
          <w:rFonts w:hint="eastAsia" w:ascii="宋体" w:hAnsi="宋体" w:eastAsia="宋体" w:cs="Times New Roman"/>
          <w:b/>
          <w:bCs/>
          <w:color w:val="000000" w:themeColor="text1"/>
          <w:sz w:val="28"/>
          <w:szCs w:val="28"/>
          <w14:textFill>
            <w14:solidFill>
              <w14:schemeClr w14:val="tx1"/>
            </w14:solidFill>
          </w14:textFill>
        </w:rPr>
        <w:tab/>
      </w:r>
      <w:r>
        <w:rPr>
          <w:rFonts w:hint="eastAsia" w:ascii="宋体" w:hAnsi="宋体" w:eastAsia="宋体" w:cs="Times New Roman"/>
          <w:b/>
          <w:bCs/>
          <w:color w:val="000000" w:themeColor="text1"/>
          <w:sz w:val="28"/>
          <w:szCs w:val="28"/>
          <w14:textFill>
            <w14:solidFill>
              <w14:schemeClr w14:val="tx1"/>
            </w14:solidFill>
          </w14:textFill>
        </w:rPr>
        <w:t>报价一览表及清单报价表</w:t>
      </w:r>
    </w:p>
    <w:p w14:paraId="7FBD8F1A">
      <w:pPr>
        <w:spacing w:line="440" w:lineRule="exact"/>
        <w:jc w:val="center"/>
        <w:rPr>
          <w:rFonts w:ascii="宋体" w:hAnsi="宋体" w:eastAsia="宋体" w:cs="Times New Roman"/>
          <w:b/>
          <w:bCs/>
          <w:color w:val="000000" w:themeColor="text1"/>
          <w:sz w:val="28"/>
          <w:szCs w:val="28"/>
          <w14:textFill>
            <w14:solidFill>
              <w14:schemeClr w14:val="tx1"/>
            </w14:solidFill>
          </w14:textFill>
        </w:rPr>
      </w:pPr>
    </w:p>
    <w:p w14:paraId="45C54BA6">
      <w:pPr>
        <w:spacing w:line="440"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b/>
          <w:bCs/>
          <w:color w:val="000000" w:themeColor="text1"/>
          <w:sz w:val="28"/>
          <w:szCs w:val="28"/>
          <w14:textFill>
            <w14:solidFill>
              <w14:schemeClr w14:val="tx1"/>
            </w14:solidFill>
          </w14:textFill>
        </w:rPr>
        <w:t>报价一览表</w:t>
      </w:r>
    </w:p>
    <w:p w14:paraId="07330339">
      <w:pPr>
        <w:widowControl/>
        <w:adjustRightInd w:val="0"/>
        <w:snapToGrid w:val="0"/>
        <w:spacing w:line="360" w:lineRule="auto"/>
        <w:jc w:val="left"/>
        <w:rPr>
          <w:rFonts w:ascii="宋体" w:hAnsi="宋体" w:eastAsia="宋体" w:cs="Times New Roman"/>
          <w:color w:val="000000" w:themeColor="text1"/>
          <w:kern w:val="0"/>
          <w:szCs w:val="21"/>
          <w14:textFill>
            <w14:solidFill>
              <w14:schemeClr w14:val="tx1"/>
            </w14:solidFill>
          </w14:textFill>
        </w:rPr>
      </w:pPr>
    </w:p>
    <w:p w14:paraId="574C426C">
      <w:pPr>
        <w:widowControl/>
        <w:adjustRightInd w:val="0"/>
        <w:snapToGrid w:val="0"/>
        <w:spacing w:line="360" w:lineRule="auto"/>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采购项目名称：广州大学202</w:t>
      </w:r>
      <w:r>
        <w:rPr>
          <w:rFonts w:hint="eastAsia" w:ascii="宋体" w:hAnsi="宋体" w:eastAsia="宋体" w:cs="Times New Roman"/>
          <w:color w:val="000000" w:themeColor="text1"/>
          <w:kern w:val="0"/>
          <w:szCs w:val="21"/>
          <w:lang w:val="en-US" w:eastAsia="zh-CN"/>
          <w14:textFill>
            <w14:solidFill>
              <w14:schemeClr w14:val="tx1"/>
            </w14:solidFill>
          </w14:textFill>
        </w:rPr>
        <w:t>6</w:t>
      </w:r>
      <w:r>
        <w:rPr>
          <w:rFonts w:hint="eastAsia" w:ascii="宋体" w:hAnsi="宋体" w:eastAsia="宋体" w:cs="Times New Roman"/>
          <w:color w:val="000000" w:themeColor="text1"/>
          <w:kern w:val="0"/>
          <w:szCs w:val="21"/>
          <w14:textFill>
            <w14:solidFill>
              <w14:schemeClr w14:val="tx1"/>
            </w14:solidFill>
          </w14:textFill>
        </w:rPr>
        <w:t>年大学城校区毕业生宿舍维修翻新工程检测服务</w:t>
      </w:r>
    </w:p>
    <w:p w14:paraId="7866524D">
      <w:pPr>
        <w:widowControl/>
        <w:adjustRightInd w:val="0"/>
        <w:snapToGrid w:val="0"/>
        <w:spacing w:line="360" w:lineRule="auto"/>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 xml:space="preserve">货币单位：人民币元 </w:t>
      </w:r>
    </w:p>
    <w:tbl>
      <w:tblPr>
        <w:tblStyle w:val="14"/>
        <w:tblW w:w="8151" w:type="dxa"/>
        <w:tblInd w:w="133" w:type="dxa"/>
        <w:tblLayout w:type="fixed"/>
        <w:tblCellMar>
          <w:top w:w="0" w:type="dxa"/>
          <w:left w:w="30" w:type="dxa"/>
          <w:bottom w:w="0" w:type="dxa"/>
          <w:right w:w="30" w:type="dxa"/>
        </w:tblCellMar>
      </w:tblPr>
      <w:tblGrid>
        <w:gridCol w:w="713"/>
        <w:gridCol w:w="2126"/>
        <w:gridCol w:w="3851"/>
        <w:gridCol w:w="1461"/>
      </w:tblGrid>
      <w:tr w14:paraId="093A3D46">
        <w:tblPrEx>
          <w:tblCellMar>
            <w:top w:w="0" w:type="dxa"/>
            <w:left w:w="30" w:type="dxa"/>
            <w:bottom w:w="0" w:type="dxa"/>
            <w:right w:w="30" w:type="dxa"/>
          </w:tblCellMar>
        </w:tblPrEx>
        <w:trPr>
          <w:cantSplit/>
          <w:trHeight w:val="870" w:hRule="atLeast"/>
        </w:trPr>
        <w:tc>
          <w:tcPr>
            <w:tcW w:w="713" w:type="dxa"/>
            <w:tcBorders>
              <w:top w:val="single" w:color="auto" w:sz="4" w:space="0"/>
              <w:left w:val="single" w:color="auto" w:sz="4" w:space="0"/>
              <w:bottom w:val="single" w:color="auto" w:sz="4" w:space="0"/>
              <w:right w:val="single" w:color="auto" w:sz="4" w:space="0"/>
            </w:tcBorders>
            <w:vAlign w:val="center"/>
          </w:tcPr>
          <w:p w14:paraId="3DC999E4">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021D6429">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内容</w:t>
            </w:r>
          </w:p>
        </w:tc>
        <w:tc>
          <w:tcPr>
            <w:tcW w:w="3851" w:type="dxa"/>
            <w:tcBorders>
              <w:top w:val="single" w:color="auto" w:sz="4" w:space="0"/>
              <w:left w:val="single" w:color="auto" w:sz="4" w:space="0"/>
              <w:bottom w:val="single" w:color="auto" w:sz="4" w:space="0"/>
              <w:right w:val="single" w:color="auto" w:sz="4" w:space="0"/>
            </w:tcBorders>
            <w:vAlign w:val="center"/>
          </w:tcPr>
          <w:p w14:paraId="59E11D84">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价</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格</w:t>
            </w:r>
          </w:p>
        </w:tc>
        <w:tc>
          <w:tcPr>
            <w:tcW w:w="1461" w:type="dxa"/>
            <w:tcBorders>
              <w:top w:val="single" w:color="auto" w:sz="4" w:space="0"/>
              <w:left w:val="single" w:color="auto" w:sz="4" w:space="0"/>
              <w:bottom w:val="single" w:color="auto" w:sz="4" w:space="0"/>
              <w:right w:val="single" w:color="auto" w:sz="4" w:space="0"/>
            </w:tcBorders>
            <w:vAlign w:val="center"/>
          </w:tcPr>
          <w:p w14:paraId="48D100B6">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注</w:t>
            </w:r>
          </w:p>
        </w:tc>
      </w:tr>
      <w:tr w14:paraId="3E912650">
        <w:tblPrEx>
          <w:tblCellMar>
            <w:top w:w="0" w:type="dxa"/>
            <w:left w:w="30" w:type="dxa"/>
            <w:bottom w:w="0" w:type="dxa"/>
            <w:right w:w="30" w:type="dxa"/>
          </w:tblCellMar>
        </w:tblPrEx>
        <w:trPr>
          <w:cantSplit/>
          <w:trHeight w:val="716" w:hRule="atLeast"/>
        </w:trPr>
        <w:tc>
          <w:tcPr>
            <w:tcW w:w="713" w:type="dxa"/>
            <w:tcBorders>
              <w:top w:val="single" w:color="auto" w:sz="4" w:space="0"/>
              <w:left w:val="single" w:color="auto" w:sz="4" w:space="0"/>
              <w:bottom w:val="single" w:color="auto" w:sz="4" w:space="0"/>
              <w:right w:val="single" w:color="auto" w:sz="4" w:space="0"/>
            </w:tcBorders>
            <w:vAlign w:val="center"/>
          </w:tcPr>
          <w:p w14:paraId="230A7D26">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2126" w:type="dxa"/>
            <w:tcBorders>
              <w:top w:val="single" w:color="auto" w:sz="4" w:space="0"/>
              <w:left w:val="nil"/>
              <w:bottom w:val="single" w:color="auto" w:sz="4" w:space="0"/>
              <w:right w:val="single" w:color="auto" w:sz="4" w:space="0"/>
            </w:tcBorders>
            <w:vAlign w:val="center"/>
          </w:tcPr>
          <w:p w14:paraId="54C81F1D">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暂列金</w:t>
            </w:r>
          </w:p>
        </w:tc>
        <w:tc>
          <w:tcPr>
            <w:tcW w:w="3851" w:type="dxa"/>
            <w:tcBorders>
              <w:top w:val="single" w:color="auto" w:sz="4" w:space="0"/>
              <w:left w:val="single" w:color="auto" w:sz="4" w:space="0"/>
              <w:bottom w:val="single" w:color="auto" w:sz="4" w:space="0"/>
              <w:right w:val="single" w:color="auto" w:sz="4" w:space="0"/>
            </w:tcBorders>
            <w:vAlign w:val="center"/>
          </w:tcPr>
          <w:p w14:paraId="205E84B3">
            <w:pPr>
              <w:autoSpaceDE w:val="0"/>
              <w:autoSpaceDN w:val="0"/>
              <w:adjustRightInd w:val="0"/>
              <w:spacing w:line="420" w:lineRule="exact"/>
              <w:jc w:val="center"/>
              <w:rPr>
                <w:rFonts w:hint="default" w:ascii="宋体" w:hAnsi="宋体" w:eastAsiaTheme="minorEastAsia"/>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20000</w:t>
            </w:r>
          </w:p>
        </w:tc>
        <w:tc>
          <w:tcPr>
            <w:tcW w:w="1461" w:type="dxa"/>
            <w:tcBorders>
              <w:top w:val="single" w:color="auto" w:sz="4" w:space="0"/>
              <w:left w:val="single" w:color="auto" w:sz="4" w:space="0"/>
              <w:bottom w:val="single" w:color="auto" w:sz="4" w:space="0"/>
              <w:right w:val="single" w:color="auto" w:sz="4" w:space="0"/>
            </w:tcBorders>
            <w:vAlign w:val="center"/>
          </w:tcPr>
          <w:p w14:paraId="40F813F9">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不可竞争费用</w:t>
            </w:r>
          </w:p>
        </w:tc>
      </w:tr>
      <w:tr w14:paraId="3ABE2D41">
        <w:tblPrEx>
          <w:tblCellMar>
            <w:top w:w="0" w:type="dxa"/>
            <w:left w:w="30" w:type="dxa"/>
            <w:bottom w:w="0" w:type="dxa"/>
            <w:right w:w="30" w:type="dxa"/>
          </w:tblCellMar>
        </w:tblPrEx>
        <w:trPr>
          <w:cantSplit/>
          <w:trHeight w:val="716" w:hRule="atLeast"/>
        </w:trPr>
        <w:tc>
          <w:tcPr>
            <w:tcW w:w="713" w:type="dxa"/>
            <w:tcBorders>
              <w:top w:val="single" w:color="auto" w:sz="4" w:space="0"/>
              <w:left w:val="single" w:color="auto" w:sz="4" w:space="0"/>
              <w:bottom w:val="single" w:color="auto" w:sz="4" w:space="0"/>
              <w:right w:val="single" w:color="auto" w:sz="4" w:space="0"/>
            </w:tcBorders>
            <w:vAlign w:val="center"/>
          </w:tcPr>
          <w:p w14:paraId="67C8D70A">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2126" w:type="dxa"/>
            <w:tcBorders>
              <w:top w:val="single" w:color="auto" w:sz="4" w:space="0"/>
              <w:left w:val="nil"/>
              <w:bottom w:val="single" w:color="auto" w:sz="4" w:space="0"/>
              <w:right w:val="single" w:color="auto" w:sz="4" w:space="0"/>
            </w:tcBorders>
            <w:vAlign w:val="center"/>
          </w:tcPr>
          <w:p w14:paraId="12ABC954">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下浮率</w:t>
            </w:r>
          </w:p>
        </w:tc>
        <w:tc>
          <w:tcPr>
            <w:tcW w:w="3851" w:type="dxa"/>
            <w:tcBorders>
              <w:top w:val="single" w:color="auto" w:sz="4" w:space="0"/>
              <w:left w:val="single" w:color="auto" w:sz="4" w:space="0"/>
              <w:bottom w:val="single" w:color="auto" w:sz="4" w:space="0"/>
              <w:right w:val="single" w:color="auto" w:sz="4" w:space="0"/>
            </w:tcBorders>
            <w:vAlign w:val="center"/>
          </w:tcPr>
          <w:p w14:paraId="31D3C68F">
            <w:pPr>
              <w:autoSpaceDE w:val="0"/>
              <w:autoSpaceDN w:val="0"/>
              <w:adjustRightInd w:val="0"/>
              <w:spacing w:line="420" w:lineRule="exact"/>
              <w:ind w:left="3977" w:leftChars="84" w:hanging="3801" w:hangingChars="1810"/>
              <w:rPr>
                <w:rFonts w:ascii="宋体" w:hAnsi="宋体" w:eastAsia="宋体" w:cs="Times New Roman"/>
                <w:color w:val="000000" w:themeColor="text1"/>
                <w:kern w:val="0"/>
                <w:szCs w:val="21"/>
                <w14:textFill>
                  <w14:solidFill>
                    <w14:schemeClr w14:val="tx1"/>
                  </w14:solidFill>
                </w14:textFill>
              </w:rPr>
            </w:pPr>
          </w:p>
        </w:tc>
        <w:tc>
          <w:tcPr>
            <w:tcW w:w="1461" w:type="dxa"/>
            <w:tcBorders>
              <w:top w:val="single" w:color="auto" w:sz="4" w:space="0"/>
              <w:left w:val="single" w:color="auto" w:sz="4" w:space="0"/>
              <w:bottom w:val="single" w:color="auto" w:sz="4" w:space="0"/>
              <w:right w:val="single" w:color="auto" w:sz="4" w:space="0"/>
            </w:tcBorders>
            <w:vAlign w:val="center"/>
          </w:tcPr>
          <w:p w14:paraId="58480F3A">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0"/>
                <w14:textFill>
                  <w14:solidFill>
                    <w14:schemeClr w14:val="tx1"/>
                  </w14:solidFill>
                </w14:textFill>
              </w:rPr>
              <w:t>不得少于3</w:t>
            </w:r>
            <w:r>
              <w:rPr>
                <w:rFonts w:ascii="宋体" w:hAnsi="宋体" w:eastAsia="宋体" w:cs="Times New Roman"/>
                <w:color w:val="000000" w:themeColor="text1"/>
                <w:kern w:val="0"/>
                <w:szCs w:val="20"/>
                <w14:textFill>
                  <w14:solidFill>
                    <w14:schemeClr w14:val="tx1"/>
                  </w14:solidFill>
                </w14:textFill>
              </w:rPr>
              <w:t>0%</w:t>
            </w:r>
          </w:p>
        </w:tc>
      </w:tr>
      <w:tr w14:paraId="5367E2D0">
        <w:tblPrEx>
          <w:tblCellMar>
            <w:top w:w="0" w:type="dxa"/>
            <w:left w:w="30" w:type="dxa"/>
            <w:bottom w:w="0" w:type="dxa"/>
            <w:right w:w="30" w:type="dxa"/>
          </w:tblCellMar>
        </w:tblPrEx>
        <w:trPr>
          <w:cantSplit/>
          <w:trHeight w:val="1226" w:hRule="atLeast"/>
        </w:trPr>
        <w:tc>
          <w:tcPr>
            <w:tcW w:w="713" w:type="dxa"/>
            <w:tcBorders>
              <w:top w:val="single" w:color="auto" w:sz="4" w:space="0"/>
              <w:left w:val="single" w:color="auto" w:sz="4" w:space="0"/>
              <w:bottom w:val="single" w:color="auto" w:sz="4" w:space="0"/>
              <w:right w:val="single" w:color="auto" w:sz="4" w:space="0"/>
            </w:tcBorders>
            <w:vAlign w:val="center"/>
          </w:tcPr>
          <w:p w14:paraId="3FB7D7B9">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2126" w:type="dxa"/>
            <w:tcBorders>
              <w:top w:val="single" w:color="auto" w:sz="4" w:space="0"/>
              <w:left w:val="single" w:color="auto" w:sz="4" w:space="0"/>
              <w:bottom w:val="single" w:color="auto" w:sz="4" w:space="0"/>
              <w:right w:val="single" w:color="auto" w:sz="4" w:space="0"/>
            </w:tcBorders>
            <w:vAlign w:val="center"/>
          </w:tcPr>
          <w:p w14:paraId="3B125521">
            <w:pPr>
              <w:autoSpaceDE w:val="0"/>
              <w:autoSpaceDN w:val="0"/>
              <w:adjustRightInd w:val="0"/>
              <w:spacing w:line="42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w:t>
            </w:r>
          </w:p>
        </w:tc>
        <w:tc>
          <w:tcPr>
            <w:tcW w:w="3851" w:type="dxa"/>
            <w:tcBorders>
              <w:top w:val="single" w:color="auto" w:sz="4" w:space="0"/>
              <w:left w:val="single" w:color="auto" w:sz="4" w:space="0"/>
              <w:bottom w:val="single" w:color="auto" w:sz="4" w:space="0"/>
              <w:right w:val="single" w:color="auto" w:sz="4" w:space="0"/>
            </w:tcBorders>
            <w:vAlign w:val="center"/>
          </w:tcPr>
          <w:p w14:paraId="650B11C6">
            <w:pPr>
              <w:autoSpaceDE w:val="0"/>
              <w:autoSpaceDN w:val="0"/>
              <w:adjustRightInd w:val="0"/>
              <w:spacing w:line="420" w:lineRule="exact"/>
              <w:ind w:left="3977" w:leftChars="84" w:hanging="3801" w:hangingChars="1810"/>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小写：</w:t>
            </w:r>
          </w:p>
          <w:p w14:paraId="07A694F5">
            <w:pPr>
              <w:autoSpaceDE w:val="0"/>
              <w:autoSpaceDN w:val="0"/>
              <w:adjustRightInd w:val="0"/>
              <w:spacing w:line="420" w:lineRule="exact"/>
              <w:ind w:left="3977" w:leftChars="84" w:hanging="3801" w:hangingChars="1810"/>
              <w:rPr>
                <w:rFonts w:ascii="宋体" w:hAnsi="宋体"/>
                <w:b/>
                <w:color w:val="000000" w:themeColor="text1"/>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大写：</w:t>
            </w:r>
          </w:p>
        </w:tc>
        <w:tc>
          <w:tcPr>
            <w:tcW w:w="1461" w:type="dxa"/>
            <w:tcBorders>
              <w:top w:val="single" w:color="auto" w:sz="4" w:space="0"/>
              <w:left w:val="single" w:color="auto" w:sz="4" w:space="0"/>
              <w:bottom w:val="single" w:color="auto" w:sz="4" w:space="0"/>
              <w:right w:val="single" w:color="auto" w:sz="4" w:space="0"/>
            </w:tcBorders>
            <w:vAlign w:val="center"/>
          </w:tcPr>
          <w:p w14:paraId="7B28926D">
            <w:pPr>
              <w:autoSpaceDE w:val="0"/>
              <w:autoSpaceDN w:val="0"/>
              <w:adjustRightInd w:val="0"/>
              <w:spacing w:line="420"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（含暂列金）</w:t>
            </w:r>
          </w:p>
        </w:tc>
      </w:tr>
    </w:tbl>
    <w:p w14:paraId="3401722A">
      <w:pPr>
        <w:widowControl/>
        <w:tabs>
          <w:tab w:val="left" w:pos="7755"/>
        </w:tabs>
        <w:spacing w:line="360" w:lineRule="auto"/>
        <w:ind w:left="743" w:hanging="743" w:hangingChars="354"/>
        <w:jc w:val="left"/>
        <w:rPr>
          <w:rFonts w:ascii="宋体" w:hAnsi="宋体" w:eastAsia="宋体" w:cs="Times New Roman"/>
          <w:color w:val="000000" w:themeColor="text1"/>
          <w:kern w:val="0"/>
          <w:szCs w:val="20"/>
          <w14:textFill>
            <w14:solidFill>
              <w14:schemeClr w14:val="tx1"/>
            </w14:solidFill>
          </w14:textFill>
        </w:rPr>
      </w:pPr>
      <w:r>
        <w:rPr>
          <w:rFonts w:hint="eastAsia" w:ascii="宋体" w:hAnsi="宋体" w:eastAsia="宋体" w:cs="Times New Roman"/>
          <w:color w:val="000000" w:themeColor="text1"/>
          <w:kern w:val="0"/>
          <w:szCs w:val="20"/>
          <w14:textFill>
            <w14:solidFill>
              <w14:schemeClr w14:val="tx1"/>
            </w14:solidFill>
          </w14:textFill>
        </w:rPr>
        <w:t>注：</w:t>
      </w:r>
      <w:r>
        <w:rPr>
          <w:rFonts w:hint="eastAsia" w:ascii="宋体" w:hAnsi="宋体" w:eastAsia="宋体" w:cs="Times New Roman"/>
          <w:color w:val="000000" w:themeColor="text1"/>
          <w:kern w:val="0"/>
          <w:szCs w:val="20"/>
          <w14:textFill>
            <w14:solidFill>
              <w14:schemeClr w14:val="tx1"/>
            </w14:solidFill>
          </w14:textFill>
        </w:rPr>
        <w:tab/>
      </w:r>
      <w:r>
        <w:rPr>
          <w:rFonts w:hint="eastAsia" w:ascii="宋体" w:hAnsi="宋体" w:eastAsia="宋体" w:cs="Times New Roman"/>
          <w:color w:val="000000" w:themeColor="text1"/>
          <w:kern w:val="0"/>
          <w:szCs w:val="20"/>
          <w14:textFill>
            <w14:solidFill>
              <w14:schemeClr w14:val="tx1"/>
            </w14:solidFill>
          </w14:textFill>
        </w:rPr>
        <w:tab/>
      </w:r>
    </w:p>
    <w:p w14:paraId="6093BD9C">
      <w:pPr>
        <w:pStyle w:val="23"/>
        <w:widowControl/>
        <w:numPr>
          <w:ilvl w:val="0"/>
          <w:numId w:val="3"/>
        </w:numPr>
        <w:ind w:firstLineChars="0"/>
        <w:jc w:val="left"/>
        <w:rPr>
          <w:rFonts w:ascii="宋体" w:hAnsi="宋体"/>
          <w:color w:val="000000" w:themeColor="text1"/>
          <w:kern w:val="0"/>
          <w:szCs w:val="20"/>
          <w14:textFill>
            <w14:solidFill>
              <w14:schemeClr w14:val="tx1"/>
            </w14:solidFill>
          </w14:textFill>
        </w:rPr>
      </w:pPr>
      <w:r>
        <w:rPr>
          <w:rFonts w:hint="eastAsia" w:ascii="宋体" w:hAnsi="宋体"/>
          <w:color w:val="000000" w:themeColor="text1"/>
          <w:kern w:val="0"/>
          <w:szCs w:val="20"/>
          <w14:textFill>
            <w14:solidFill>
              <w14:schemeClr w14:val="tx1"/>
            </w14:solidFill>
          </w14:textFill>
        </w:rPr>
        <w:t>填写此表时不得改变表格的形式，同时本表中的报价须与《清单报价表》中的报价一致，否则报价无效；</w:t>
      </w:r>
    </w:p>
    <w:p w14:paraId="4101684F">
      <w:pPr>
        <w:pStyle w:val="23"/>
        <w:widowControl/>
        <w:numPr>
          <w:ilvl w:val="0"/>
          <w:numId w:val="3"/>
        </w:numPr>
        <w:ind w:firstLineChars="0"/>
        <w:jc w:val="left"/>
        <w:rPr>
          <w:rFonts w:ascii="宋体" w:hAnsi="宋体"/>
          <w:color w:val="000000" w:themeColor="text1"/>
          <w:kern w:val="0"/>
          <w:szCs w:val="20"/>
          <w14:textFill>
            <w14:solidFill>
              <w14:schemeClr w14:val="tx1"/>
            </w14:solidFill>
          </w14:textFill>
        </w:rPr>
      </w:pPr>
      <w:r>
        <w:rPr>
          <w:rFonts w:hint="eastAsia" w:ascii="宋体" w:hAnsi="宋体"/>
          <w:color w:val="000000" w:themeColor="text1"/>
          <w:kern w:val="0"/>
          <w:szCs w:val="20"/>
          <w14:textFill>
            <w14:solidFill>
              <w14:schemeClr w14:val="tx1"/>
            </w14:solidFill>
          </w14:textFill>
        </w:rPr>
        <w:t>报价已包含供应商提供的检测、鉴定方案全部内容和现行检测、鉴定相关规范、规定要求的本项目必须检测、鉴定所有工作（包括但不限于询价文件、清单报价表内容）的全部费用；</w:t>
      </w:r>
    </w:p>
    <w:p w14:paraId="1403E315">
      <w:pPr>
        <w:pStyle w:val="13"/>
        <w:numPr>
          <w:ilvl w:val="0"/>
          <w:numId w:val="3"/>
        </w:numPr>
        <w:ind w:firstLineChars="0"/>
        <w:rPr>
          <w:color w:val="000000" w:themeColor="text1"/>
          <w:sz w:val="21"/>
          <w14:textFill>
            <w14:solidFill>
              <w14:schemeClr w14:val="tx1"/>
            </w14:solidFill>
          </w14:textFill>
        </w:rPr>
      </w:pPr>
      <w:r>
        <w:rPr>
          <w:rFonts w:hint="eastAsia"/>
          <w:color w:val="000000" w:themeColor="text1"/>
          <w:sz w:val="21"/>
          <w14:textFill>
            <w14:solidFill>
              <w14:schemeClr w14:val="tx1"/>
            </w14:solidFill>
          </w14:textFill>
        </w:rPr>
        <w:t>下浮率的使用办法参见“付款方式”中“结算原则”的第②点；</w:t>
      </w:r>
    </w:p>
    <w:p w14:paraId="1CFB3238">
      <w:pPr>
        <w:widowControl/>
        <w:ind w:left="2"/>
        <w:jc w:val="left"/>
        <w:rPr>
          <w:rFonts w:ascii="宋体" w:hAnsi="宋体" w:eastAsia="宋体" w:cs="Times New Roman"/>
          <w:color w:val="000000" w:themeColor="text1"/>
          <w:kern w:val="0"/>
          <w:szCs w:val="20"/>
          <w14:textFill>
            <w14:solidFill>
              <w14:schemeClr w14:val="tx1"/>
            </w14:solidFill>
          </w14:textFill>
        </w:rPr>
      </w:pPr>
      <w:r>
        <w:rPr>
          <w:rFonts w:ascii="宋体" w:hAnsi="宋体" w:eastAsia="宋体" w:cs="Times New Roman"/>
          <w:color w:val="000000" w:themeColor="text1"/>
          <w:kern w:val="0"/>
          <w:szCs w:val="20"/>
          <w14:textFill>
            <w14:solidFill>
              <w14:schemeClr w14:val="tx1"/>
            </w14:solidFill>
          </w14:textFill>
        </w:rPr>
        <w:t>4</w:t>
      </w:r>
      <w:r>
        <w:rPr>
          <w:rFonts w:hint="eastAsia" w:ascii="宋体" w:hAnsi="宋体" w:eastAsia="宋体" w:cs="Times New Roman"/>
          <w:color w:val="000000" w:themeColor="text1"/>
          <w:kern w:val="0"/>
          <w:szCs w:val="20"/>
          <w14:textFill>
            <w14:solidFill>
              <w14:schemeClr w14:val="tx1"/>
            </w14:solidFill>
          </w14:textFill>
        </w:rPr>
        <w:t>、如有其他特殊说明事项，可在“备注”栏内明确表述。</w:t>
      </w:r>
    </w:p>
    <w:p w14:paraId="556001CE">
      <w:pPr>
        <w:pStyle w:val="13"/>
        <w:ind w:firstLine="240"/>
        <w:rPr>
          <w:color w:val="000000" w:themeColor="text1"/>
          <w14:textFill>
            <w14:solidFill>
              <w14:schemeClr w14:val="tx1"/>
            </w14:solidFill>
          </w14:textFill>
        </w:rPr>
      </w:pPr>
    </w:p>
    <w:p w14:paraId="348FB7E0">
      <w:pPr>
        <w:pStyle w:val="13"/>
        <w:ind w:firstLine="240"/>
        <w:rPr>
          <w:color w:val="000000" w:themeColor="text1"/>
          <w14:textFill>
            <w14:solidFill>
              <w14:schemeClr w14:val="tx1"/>
            </w14:solidFill>
          </w14:textFill>
        </w:rPr>
      </w:pPr>
    </w:p>
    <w:p w14:paraId="76E39A14">
      <w:pPr>
        <w:widowControl/>
        <w:spacing w:line="360" w:lineRule="auto"/>
        <w:jc w:val="left"/>
        <w:rPr>
          <w:rFonts w:ascii="宋体" w:hAnsi="宋体" w:eastAsia="宋体" w:cs="Times New Roman"/>
          <w:color w:val="000000" w:themeColor="text1"/>
          <w:kern w:val="0"/>
          <w:szCs w:val="21"/>
          <w14:textFill>
            <w14:solidFill>
              <w14:schemeClr w14:val="tx1"/>
            </w14:solidFill>
          </w14:textFill>
        </w:rPr>
      </w:pPr>
    </w:p>
    <w:p w14:paraId="65F4D58F">
      <w:pPr>
        <w:widowControl/>
        <w:adjustRightInd w:val="0"/>
        <w:snapToGrid w:val="0"/>
        <w:spacing w:line="360" w:lineRule="auto"/>
        <w:jc w:val="right"/>
        <w:rPr>
          <w:rFonts w:ascii="宋体" w:hAnsi="宋体" w:eastAsia="宋体" w:cs="Times New Roman"/>
          <w:color w:val="000000" w:themeColor="text1"/>
          <w:kern w:val="0"/>
          <w:szCs w:val="21"/>
          <w:u w:val="single"/>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供应商名称（盖章）：</w:t>
      </w:r>
    </w:p>
    <w:p w14:paraId="501CC009">
      <w:pPr>
        <w:widowControl/>
        <w:spacing w:line="360" w:lineRule="auto"/>
        <w:jc w:val="righ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日期：   年   月   日</w:t>
      </w:r>
    </w:p>
    <w:p w14:paraId="1EE9E288">
      <w:pPr>
        <w:pStyle w:val="13"/>
        <w:ind w:firstLine="240"/>
        <w:rPr>
          <w:color w:val="000000" w:themeColor="text1"/>
          <w14:textFill>
            <w14:solidFill>
              <w14:schemeClr w14:val="tx1"/>
            </w14:solidFill>
          </w14:textFill>
        </w:rPr>
      </w:pPr>
    </w:p>
    <w:p w14:paraId="4F0FEE4F">
      <w:pPr>
        <w:widowControl/>
        <w:spacing w:line="360" w:lineRule="auto"/>
        <w:jc w:val="left"/>
        <w:rPr>
          <w:rFonts w:ascii="宋体" w:hAnsi="宋体" w:eastAsia="宋体" w:cs="Times New Roman"/>
          <w:color w:val="000000" w:themeColor="text1"/>
          <w:kern w:val="0"/>
          <w:szCs w:val="21"/>
          <w14:textFill>
            <w14:solidFill>
              <w14:schemeClr w14:val="tx1"/>
            </w14:solidFill>
          </w14:textFill>
        </w:rPr>
      </w:pPr>
    </w:p>
    <w:p w14:paraId="6349DDAB">
      <w:pPr>
        <w:spacing w:line="440" w:lineRule="exact"/>
        <w:jc w:val="center"/>
        <w:rPr>
          <w:rFonts w:ascii="宋体" w:hAnsi="宋体" w:eastAsia="宋体" w:cs="Times New Roman"/>
          <w:b/>
          <w:bCs/>
          <w:color w:val="000000" w:themeColor="text1"/>
          <w:sz w:val="28"/>
          <w:szCs w:val="28"/>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br w:type="page"/>
      </w:r>
      <w:r>
        <w:rPr>
          <w:rFonts w:hint="eastAsia" w:ascii="宋体" w:hAnsi="宋体" w:eastAsia="宋体" w:cs="Times New Roman"/>
          <w:b/>
          <w:bCs/>
          <w:color w:val="000000" w:themeColor="text1"/>
          <w:sz w:val="28"/>
          <w:szCs w:val="28"/>
          <w14:textFill>
            <w14:solidFill>
              <w14:schemeClr w14:val="tx1"/>
            </w14:solidFill>
          </w14:textFill>
        </w:rPr>
        <w:t>清单报价表</w:t>
      </w:r>
    </w:p>
    <w:tbl>
      <w:tblPr>
        <w:tblStyle w:val="14"/>
        <w:tblW w:w="8784" w:type="dxa"/>
        <w:jc w:val="center"/>
        <w:tblLayout w:type="fixed"/>
        <w:tblCellMar>
          <w:top w:w="0" w:type="dxa"/>
          <w:left w:w="108" w:type="dxa"/>
          <w:bottom w:w="0" w:type="dxa"/>
          <w:right w:w="108" w:type="dxa"/>
        </w:tblCellMar>
      </w:tblPr>
      <w:tblGrid>
        <w:gridCol w:w="567"/>
        <w:gridCol w:w="2123"/>
        <w:gridCol w:w="1982"/>
        <w:gridCol w:w="710"/>
        <w:gridCol w:w="425"/>
        <w:gridCol w:w="1134"/>
        <w:gridCol w:w="1134"/>
        <w:gridCol w:w="709"/>
      </w:tblGrid>
      <w:tr w14:paraId="318A8F10">
        <w:tblPrEx>
          <w:tblCellMar>
            <w:top w:w="0" w:type="dxa"/>
            <w:left w:w="108" w:type="dxa"/>
            <w:bottom w:w="0" w:type="dxa"/>
            <w:right w:w="108" w:type="dxa"/>
          </w:tblCellMar>
        </w:tblPrEx>
        <w:trPr>
          <w:trHeight w:val="237" w:hRule="atLeast"/>
          <w:jc w:val="center"/>
        </w:trPr>
        <w:tc>
          <w:tcPr>
            <w:tcW w:w="567" w:type="dxa"/>
            <w:vMerge w:val="restart"/>
            <w:tcBorders>
              <w:top w:val="single" w:color="000000" w:sz="4" w:space="0"/>
              <w:left w:val="single" w:color="000000" w:sz="4" w:space="0"/>
              <w:right w:val="single" w:color="000000" w:sz="4" w:space="0"/>
            </w:tcBorders>
            <w:shd w:val="clear" w:color="auto" w:fill="auto"/>
            <w:noWrap/>
            <w:vAlign w:val="center"/>
          </w:tcPr>
          <w:p w14:paraId="6EFCDFC2">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序号</w:t>
            </w:r>
          </w:p>
        </w:tc>
        <w:tc>
          <w:tcPr>
            <w:tcW w:w="4105"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38319A60">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检测内容</w:t>
            </w:r>
          </w:p>
        </w:tc>
        <w:tc>
          <w:tcPr>
            <w:tcW w:w="710" w:type="dxa"/>
            <w:vMerge w:val="restart"/>
            <w:tcBorders>
              <w:top w:val="single" w:color="000000" w:sz="4" w:space="0"/>
              <w:left w:val="single" w:color="000000" w:sz="4" w:space="0"/>
              <w:right w:val="single" w:color="000000" w:sz="4" w:space="0"/>
            </w:tcBorders>
            <w:shd w:val="clear" w:color="auto" w:fill="auto"/>
            <w:vAlign w:val="center"/>
          </w:tcPr>
          <w:p w14:paraId="3AC3571E">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工程量</w:t>
            </w:r>
          </w:p>
        </w:tc>
        <w:tc>
          <w:tcPr>
            <w:tcW w:w="425" w:type="dxa"/>
            <w:vMerge w:val="restart"/>
            <w:tcBorders>
              <w:top w:val="single" w:color="000000" w:sz="4" w:space="0"/>
              <w:left w:val="single" w:color="000000" w:sz="4" w:space="0"/>
              <w:right w:val="single" w:color="000000" w:sz="4" w:space="0"/>
            </w:tcBorders>
            <w:shd w:val="clear" w:color="auto" w:fill="auto"/>
            <w:noWrap/>
            <w:vAlign w:val="center"/>
          </w:tcPr>
          <w:p w14:paraId="34A58881">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单位</w:t>
            </w:r>
          </w:p>
        </w:tc>
        <w:tc>
          <w:tcPr>
            <w:tcW w:w="1134" w:type="dxa"/>
            <w:vMerge w:val="restart"/>
            <w:tcBorders>
              <w:top w:val="single" w:color="000000" w:sz="4" w:space="0"/>
              <w:left w:val="single" w:color="000000" w:sz="4" w:space="0"/>
              <w:right w:val="single" w:color="000000" w:sz="4" w:space="0"/>
            </w:tcBorders>
            <w:shd w:val="clear" w:color="auto" w:fill="auto"/>
            <w:vAlign w:val="center"/>
          </w:tcPr>
          <w:p w14:paraId="7D486E38">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综合单价（元）</w:t>
            </w:r>
          </w:p>
        </w:tc>
        <w:tc>
          <w:tcPr>
            <w:tcW w:w="1134" w:type="dxa"/>
            <w:vMerge w:val="restart"/>
            <w:tcBorders>
              <w:top w:val="single" w:color="000000" w:sz="4" w:space="0"/>
              <w:left w:val="single" w:color="000000" w:sz="4" w:space="0"/>
              <w:right w:val="single" w:color="000000" w:sz="4" w:space="0"/>
            </w:tcBorders>
            <w:shd w:val="clear" w:color="auto" w:fill="auto"/>
            <w:noWrap/>
            <w:vAlign w:val="center"/>
          </w:tcPr>
          <w:p w14:paraId="1ABEB94F">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综合合价（元）</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54E0E89A">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备注</w:t>
            </w:r>
          </w:p>
        </w:tc>
      </w:tr>
      <w:tr w14:paraId="28630C37">
        <w:tblPrEx>
          <w:tblCellMar>
            <w:top w:w="0" w:type="dxa"/>
            <w:left w:w="108" w:type="dxa"/>
            <w:bottom w:w="0" w:type="dxa"/>
            <w:right w:w="108" w:type="dxa"/>
          </w:tblCellMar>
        </w:tblPrEx>
        <w:trPr>
          <w:trHeight w:val="356" w:hRule="atLeast"/>
          <w:jc w:val="center"/>
        </w:trPr>
        <w:tc>
          <w:tcPr>
            <w:tcW w:w="567" w:type="dxa"/>
            <w:vMerge w:val="continue"/>
            <w:tcBorders>
              <w:left w:val="single" w:color="000000" w:sz="4" w:space="0"/>
              <w:bottom w:val="single" w:color="000000" w:sz="4" w:space="0"/>
              <w:right w:val="single" w:color="000000" w:sz="4" w:space="0"/>
            </w:tcBorders>
            <w:shd w:val="clear" w:color="auto" w:fill="auto"/>
            <w:noWrap/>
            <w:vAlign w:val="center"/>
          </w:tcPr>
          <w:p w14:paraId="6F97CBDA">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c>
          <w:tcPr>
            <w:tcW w:w="2123" w:type="dxa"/>
            <w:tcBorders>
              <w:top w:val="single" w:color="auto" w:sz="4" w:space="0"/>
              <w:left w:val="single" w:color="000000" w:sz="4" w:space="0"/>
              <w:bottom w:val="single" w:color="000000" w:sz="4" w:space="0"/>
              <w:right w:val="single" w:color="auto" w:sz="4" w:space="0"/>
            </w:tcBorders>
            <w:shd w:val="clear" w:color="auto" w:fill="auto"/>
            <w:vAlign w:val="center"/>
          </w:tcPr>
          <w:p w14:paraId="21757840">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检测对象</w:t>
            </w:r>
          </w:p>
        </w:tc>
        <w:tc>
          <w:tcPr>
            <w:tcW w:w="1982" w:type="dxa"/>
            <w:tcBorders>
              <w:top w:val="single" w:color="auto" w:sz="4" w:space="0"/>
              <w:left w:val="single" w:color="auto" w:sz="4" w:space="0"/>
              <w:bottom w:val="single" w:color="000000" w:sz="4" w:space="0"/>
              <w:right w:val="single" w:color="000000" w:sz="4" w:space="0"/>
            </w:tcBorders>
            <w:shd w:val="clear" w:color="auto" w:fill="auto"/>
            <w:vAlign w:val="center"/>
          </w:tcPr>
          <w:p w14:paraId="02D078F1">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检测参数</w:t>
            </w:r>
          </w:p>
        </w:tc>
        <w:tc>
          <w:tcPr>
            <w:tcW w:w="710" w:type="dxa"/>
            <w:vMerge w:val="continue"/>
            <w:tcBorders>
              <w:left w:val="single" w:color="000000" w:sz="4" w:space="0"/>
              <w:bottom w:val="single" w:color="000000" w:sz="4" w:space="0"/>
              <w:right w:val="single" w:color="000000" w:sz="4" w:space="0"/>
            </w:tcBorders>
            <w:shd w:val="clear" w:color="auto" w:fill="auto"/>
            <w:vAlign w:val="center"/>
          </w:tcPr>
          <w:p w14:paraId="58B9B58B">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c>
          <w:tcPr>
            <w:tcW w:w="425" w:type="dxa"/>
            <w:vMerge w:val="continue"/>
            <w:tcBorders>
              <w:left w:val="single" w:color="000000" w:sz="4" w:space="0"/>
              <w:bottom w:val="single" w:color="000000" w:sz="4" w:space="0"/>
              <w:right w:val="single" w:color="000000" w:sz="4" w:space="0"/>
            </w:tcBorders>
            <w:shd w:val="clear" w:color="auto" w:fill="auto"/>
            <w:noWrap/>
            <w:vAlign w:val="center"/>
          </w:tcPr>
          <w:p w14:paraId="71378A3A">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c>
          <w:tcPr>
            <w:tcW w:w="1134" w:type="dxa"/>
            <w:vMerge w:val="continue"/>
            <w:tcBorders>
              <w:left w:val="single" w:color="000000" w:sz="4" w:space="0"/>
              <w:bottom w:val="single" w:color="000000" w:sz="4" w:space="0"/>
              <w:right w:val="single" w:color="000000" w:sz="4" w:space="0"/>
            </w:tcBorders>
            <w:shd w:val="clear" w:color="auto" w:fill="auto"/>
            <w:vAlign w:val="center"/>
          </w:tcPr>
          <w:p w14:paraId="5CD94D89">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c>
          <w:tcPr>
            <w:tcW w:w="1134" w:type="dxa"/>
            <w:vMerge w:val="continue"/>
            <w:tcBorders>
              <w:left w:val="single" w:color="000000" w:sz="4" w:space="0"/>
              <w:bottom w:val="single" w:color="000000" w:sz="4" w:space="0"/>
              <w:right w:val="single" w:color="000000" w:sz="4" w:space="0"/>
            </w:tcBorders>
            <w:shd w:val="clear" w:color="auto" w:fill="auto"/>
            <w:noWrap/>
            <w:vAlign w:val="center"/>
          </w:tcPr>
          <w:p w14:paraId="725BB526">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2153BF02">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p>
        </w:tc>
      </w:tr>
      <w:tr w14:paraId="556605C0">
        <w:tblPrEx>
          <w:tblCellMar>
            <w:top w:w="0" w:type="dxa"/>
            <w:left w:w="108" w:type="dxa"/>
            <w:bottom w:w="0" w:type="dxa"/>
            <w:right w:w="108" w:type="dxa"/>
          </w:tblCellMar>
        </w:tblPrEx>
        <w:trPr>
          <w:trHeight w:val="454"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60B3B">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5F282047">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聚合物水泥防水砂浆</w:t>
            </w:r>
          </w:p>
        </w:tc>
        <w:tc>
          <w:tcPr>
            <w:tcW w:w="1982" w:type="dxa"/>
            <w:tcBorders>
              <w:top w:val="single" w:color="000000" w:sz="4" w:space="0"/>
              <w:left w:val="single" w:color="auto" w:sz="4" w:space="0"/>
              <w:bottom w:val="single" w:color="000000" w:sz="4" w:space="0"/>
              <w:right w:val="single" w:color="000000" w:sz="4" w:space="0"/>
            </w:tcBorders>
            <w:shd w:val="clear" w:color="auto" w:fill="auto"/>
            <w:vAlign w:val="center"/>
          </w:tcPr>
          <w:p w14:paraId="760BE71A">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收缩率</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F16FA">
            <w:pPr>
              <w:widowControl/>
              <w:jc w:val="center"/>
              <w:textAlignment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7B76">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65EB">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6523">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EEE2A">
            <w:pPr>
              <w:jc w:val="center"/>
              <w:rPr>
                <w:rFonts w:ascii="宋体" w:hAnsi="宋体" w:eastAsia="宋体" w:cs="宋体"/>
                <w:color w:val="000000" w:themeColor="text1"/>
                <w:szCs w:val="21"/>
                <w14:textFill>
                  <w14:solidFill>
                    <w14:schemeClr w14:val="tx1"/>
                  </w14:solidFill>
                </w14:textFill>
              </w:rPr>
            </w:pPr>
          </w:p>
        </w:tc>
      </w:tr>
      <w:tr w14:paraId="44450139">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5499">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71FA3D80">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无机涂料底漆</w:t>
            </w:r>
          </w:p>
        </w:tc>
        <w:tc>
          <w:tcPr>
            <w:tcW w:w="1982" w:type="dxa"/>
            <w:vMerge w:val="restart"/>
            <w:tcBorders>
              <w:top w:val="single" w:color="000000" w:sz="4" w:space="0"/>
              <w:left w:val="single" w:color="auto" w:sz="4" w:space="0"/>
              <w:right w:val="single" w:color="000000" w:sz="4" w:space="0"/>
            </w:tcBorders>
            <w:shd w:val="clear" w:color="auto" w:fill="auto"/>
            <w:vAlign w:val="center"/>
          </w:tcPr>
          <w:p w14:paraId="091EEDED">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挥发性有机化合物释放量（V</w:t>
            </w:r>
            <w:r>
              <w:rPr>
                <w:rFonts w:ascii="宋体" w:hAnsi="宋体" w:eastAsia="宋体" w:cs="宋体"/>
                <w:color w:val="000000" w:themeColor="text1"/>
                <w:szCs w:val="21"/>
                <w14:textFill>
                  <w14:solidFill>
                    <w14:schemeClr w14:val="tx1"/>
                  </w14:solidFill>
                </w14:textFill>
              </w:rPr>
              <w:t>OC</w:t>
            </w:r>
            <w:r>
              <w:rPr>
                <w:rFonts w:hint="eastAsia" w:ascii="宋体" w:hAnsi="宋体" w:eastAsia="宋体" w:cs="宋体"/>
                <w:color w:val="000000" w:themeColor="text1"/>
                <w:szCs w:val="21"/>
                <w14:textFill>
                  <w14:solidFill>
                    <w14:schemeClr w14:val="tx1"/>
                  </w14:solidFill>
                </w14:textFill>
              </w:rPr>
              <w:t>）</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F8CE">
            <w:pPr>
              <w:widowControl/>
              <w:jc w:val="center"/>
              <w:textAlignment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33A2">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8062">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6D88">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8492">
            <w:pPr>
              <w:jc w:val="left"/>
              <w:rPr>
                <w:rFonts w:ascii="宋体" w:hAnsi="宋体" w:eastAsia="宋体" w:cs="宋体"/>
                <w:color w:val="000000" w:themeColor="text1"/>
                <w:szCs w:val="21"/>
                <w14:textFill>
                  <w14:solidFill>
                    <w14:schemeClr w14:val="tx1"/>
                  </w14:solidFill>
                </w14:textFill>
              </w:rPr>
            </w:pPr>
          </w:p>
        </w:tc>
      </w:tr>
      <w:tr w14:paraId="3C875A3B">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AC06">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603EBD90">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无机涂料面漆</w:t>
            </w:r>
          </w:p>
        </w:tc>
        <w:tc>
          <w:tcPr>
            <w:tcW w:w="1982" w:type="dxa"/>
            <w:vMerge w:val="continue"/>
            <w:tcBorders>
              <w:left w:val="single" w:color="auto" w:sz="4" w:space="0"/>
              <w:right w:val="single" w:color="000000" w:sz="4" w:space="0"/>
            </w:tcBorders>
            <w:shd w:val="clear" w:color="auto" w:fill="auto"/>
            <w:vAlign w:val="center"/>
          </w:tcPr>
          <w:p w14:paraId="07D434BC">
            <w:pPr>
              <w:widowControl/>
              <w:jc w:val="center"/>
              <w:textAlignment w:val="center"/>
              <w:rPr>
                <w:rFonts w:ascii="宋体" w:hAnsi="宋体" w:eastAsia="宋体" w:cs="宋体"/>
                <w:b/>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5763E">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4C00">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1CCE">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C9190">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7284">
            <w:pPr>
              <w:jc w:val="left"/>
              <w:rPr>
                <w:rFonts w:ascii="宋体" w:hAnsi="宋体" w:eastAsia="宋体" w:cs="宋体"/>
                <w:color w:val="000000" w:themeColor="text1"/>
                <w:szCs w:val="21"/>
                <w14:textFill>
                  <w14:solidFill>
                    <w14:schemeClr w14:val="tx1"/>
                  </w14:solidFill>
                </w14:textFill>
              </w:rPr>
            </w:pPr>
          </w:p>
        </w:tc>
      </w:tr>
      <w:tr w14:paraId="64C653F0">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A813">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087E1624">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乳胶漆涂料底漆</w:t>
            </w:r>
          </w:p>
        </w:tc>
        <w:tc>
          <w:tcPr>
            <w:tcW w:w="1982" w:type="dxa"/>
            <w:vMerge w:val="continue"/>
            <w:tcBorders>
              <w:left w:val="single" w:color="auto" w:sz="4" w:space="0"/>
              <w:right w:val="single" w:color="000000" w:sz="4" w:space="0"/>
            </w:tcBorders>
            <w:shd w:val="clear" w:color="auto" w:fill="auto"/>
            <w:vAlign w:val="center"/>
          </w:tcPr>
          <w:p w14:paraId="66E8EF38">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8DC0">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C9C3">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DAB41">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078E">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AC3C">
            <w:pPr>
              <w:jc w:val="left"/>
              <w:rPr>
                <w:rFonts w:ascii="宋体" w:hAnsi="宋体" w:eastAsia="宋体" w:cs="宋体"/>
                <w:color w:val="000000" w:themeColor="text1"/>
                <w:szCs w:val="21"/>
                <w14:textFill>
                  <w14:solidFill>
                    <w14:schemeClr w14:val="tx1"/>
                  </w14:solidFill>
                </w14:textFill>
              </w:rPr>
            </w:pPr>
          </w:p>
        </w:tc>
      </w:tr>
      <w:tr w14:paraId="67E4A836">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9CC6">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439EA3FF">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乳胶漆涂料面漆</w:t>
            </w:r>
          </w:p>
        </w:tc>
        <w:tc>
          <w:tcPr>
            <w:tcW w:w="1982" w:type="dxa"/>
            <w:vMerge w:val="continue"/>
            <w:tcBorders>
              <w:left w:val="single" w:color="auto" w:sz="4" w:space="0"/>
              <w:right w:val="single" w:color="000000" w:sz="4" w:space="0"/>
            </w:tcBorders>
            <w:shd w:val="clear" w:color="auto" w:fill="auto"/>
            <w:vAlign w:val="center"/>
          </w:tcPr>
          <w:p w14:paraId="2E65E334">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4C71">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54A8E">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75D1B">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5409F">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A731">
            <w:pPr>
              <w:jc w:val="left"/>
              <w:rPr>
                <w:rFonts w:ascii="宋体" w:hAnsi="宋体" w:eastAsia="宋体" w:cs="宋体"/>
                <w:color w:val="000000" w:themeColor="text1"/>
                <w:szCs w:val="21"/>
                <w14:textFill>
                  <w14:solidFill>
                    <w14:schemeClr w14:val="tx1"/>
                  </w14:solidFill>
                </w14:textFill>
              </w:rPr>
            </w:pPr>
          </w:p>
        </w:tc>
      </w:tr>
      <w:tr w14:paraId="2A2A75CD">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21125">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1951C2AC">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仿石漆面层涂料</w:t>
            </w:r>
          </w:p>
        </w:tc>
        <w:tc>
          <w:tcPr>
            <w:tcW w:w="1982" w:type="dxa"/>
            <w:vMerge w:val="continue"/>
            <w:tcBorders>
              <w:left w:val="single" w:color="auto" w:sz="4" w:space="0"/>
              <w:right w:val="single" w:color="000000" w:sz="4" w:space="0"/>
            </w:tcBorders>
            <w:shd w:val="clear" w:color="auto" w:fill="auto"/>
            <w:vAlign w:val="center"/>
          </w:tcPr>
          <w:p w14:paraId="7C72CF93">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4DCC7">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B0CB">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1513">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F024">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596C">
            <w:pPr>
              <w:jc w:val="left"/>
              <w:rPr>
                <w:rFonts w:ascii="宋体" w:hAnsi="宋体" w:eastAsia="宋体" w:cs="宋体"/>
                <w:color w:val="000000" w:themeColor="text1"/>
                <w:szCs w:val="21"/>
                <w14:textFill>
                  <w14:solidFill>
                    <w14:schemeClr w14:val="tx1"/>
                  </w14:solidFill>
                </w14:textFill>
              </w:rPr>
            </w:pPr>
          </w:p>
        </w:tc>
      </w:tr>
      <w:tr w14:paraId="5DC65A38">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9D879">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64C28E38">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仿石漆主层涂料</w:t>
            </w:r>
          </w:p>
        </w:tc>
        <w:tc>
          <w:tcPr>
            <w:tcW w:w="1982" w:type="dxa"/>
            <w:vMerge w:val="continue"/>
            <w:tcBorders>
              <w:left w:val="single" w:color="auto" w:sz="4" w:space="0"/>
              <w:right w:val="single" w:color="000000" w:sz="4" w:space="0"/>
            </w:tcBorders>
            <w:shd w:val="clear" w:color="auto" w:fill="auto"/>
            <w:vAlign w:val="center"/>
          </w:tcPr>
          <w:p w14:paraId="09944B78">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D50C">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ACB8">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297B">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BEE0">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3D89">
            <w:pPr>
              <w:jc w:val="left"/>
              <w:rPr>
                <w:rFonts w:ascii="宋体" w:hAnsi="宋体" w:eastAsia="宋体" w:cs="宋体"/>
                <w:color w:val="000000" w:themeColor="text1"/>
                <w:szCs w:val="21"/>
                <w14:textFill>
                  <w14:solidFill>
                    <w14:schemeClr w14:val="tx1"/>
                  </w14:solidFill>
                </w14:textFill>
              </w:rPr>
            </w:pPr>
          </w:p>
        </w:tc>
      </w:tr>
      <w:tr w14:paraId="1751DEFE">
        <w:tblPrEx>
          <w:tblCellMar>
            <w:top w:w="0" w:type="dxa"/>
            <w:left w:w="108" w:type="dxa"/>
            <w:bottom w:w="0" w:type="dxa"/>
            <w:right w:w="108" w:type="dxa"/>
          </w:tblCellMar>
        </w:tblPrEx>
        <w:trPr>
          <w:trHeight w:val="454" w:hRule="exac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6868A">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70BC56B8">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仿石漆底层涂料</w:t>
            </w:r>
          </w:p>
        </w:tc>
        <w:tc>
          <w:tcPr>
            <w:tcW w:w="1982" w:type="dxa"/>
            <w:vMerge w:val="continue"/>
            <w:tcBorders>
              <w:left w:val="single" w:color="auto" w:sz="4" w:space="0"/>
              <w:right w:val="single" w:color="000000" w:sz="4" w:space="0"/>
            </w:tcBorders>
            <w:shd w:val="clear" w:color="auto" w:fill="auto"/>
            <w:vAlign w:val="center"/>
          </w:tcPr>
          <w:p w14:paraId="15F76930">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38487">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E04B">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05655">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EC94">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1206E">
            <w:pPr>
              <w:jc w:val="left"/>
              <w:rPr>
                <w:rFonts w:ascii="宋体" w:hAnsi="宋体" w:eastAsia="宋体" w:cs="宋体"/>
                <w:color w:val="000000" w:themeColor="text1"/>
                <w:szCs w:val="21"/>
                <w14:textFill>
                  <w14:solidFill>
                    <w14:schemeClr w14:val="tx1"/>
                  </w14:solidFill>
                </w14:textFill>
              </w:rPr>
            </w:pPr>
          </w:p>
        </w:tc>
      </w:tr>
      <w:tr w14:paraId="4CF57579">
        <w:tblPrEx>
          <w:tblCellMar>
            <w:top w:w="0" w:type="dxa"/>
            <w:left w:w="108" w:type="dxa"/>
            <w:bottom w:w="0" w:type="dxa"/>
            <w:right w:w="108" w:type="dxa"/>
          </w:tblCellMar>
        </w:tblPrEx>
        <w:trPr>
          <w:trHeight w:val="540"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1A6CA">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500AD98F">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云铁绿磺化聚乙烯防腐底漆</w:t>
            </w:r>
          </w:p>
        </w:tc>
        <w:tc>
          <w:tcPr>
            <w:tcW w:w="1982" w:type="dxa"/>
            <w:vMerge w:val="continue"/>
            <w:tcBorders>
              <w:left w:val="single" w:color="auto" w:sz="4" w:space="0"/>
              <w:right w:val="single" w:color="000000" w:sz="4" w:space="0"/>
            </w:tcBorders>
            <w:shd w:val="clear" w:color="auto" w:fill="auto"/>
            <w:vAlign w:val="center"/>
          </w:tcPr>
          <w:p w14:paraId="7C3E37E7">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6EA9">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4EDC">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5A1CF">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177A">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4B07">
            <w:pPr>
              <w:jc w:val="left"/>
              <w:rPr>
                <w:rFonts w:ascii="宋体" w:hAnsi="宋体" w:eastAsia="宋体" w:cs="宋体"/>
                <w:color w:val="000000" w:themeColor="text1"/>
                <w:szCs w:val="21"/>
                <w14:textFill>
                  <w14:solidFill>
                    <w14:schemeClr w14:val="tx1"/>
                  </w14:solidFill>
                </w14:textFill>
              </w:rPr>
            </w:pPr>
          </w:p>
        </w:tc>
      </w:tr>
      <w:tr w14:paraId="60ED5F78">
        <w:tblPrEx>
          <w:tblCellMar>
            <w:top w:w="0" w:type="dxa"/>
            <w:left w:w="108" w:type="dxa"/>
            <w:bottom w:w="0" w:type="dxa"/>
            <w:right w:w="108" w:type="dxa"/>
          </w:tblCellMar>
        </w:tblPrEx>
        <w:trPr>
          <w:trHeight w:val="540"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B718">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ascii="宋体" w:hAnsi="宋体" w:eastAsia="宋体" w:cs="宋体"/>
                <w:color w:val="000000" w:themeColor="text1"/>
                <w:szCs w:val="21"/>
                <w14:textFill>
                  <w14:solidFill>
                    <w14:schemeClr w14:val="tx1"/>
                  </w14:solidFill>
                </w14:textFill>
              </w:rPr>
              <w:t>0</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6DEE6944">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灰丙烯酸磁漆面漆</w:t>
            </w:r>
          </w:p>
        </w:tc>
        <w:tc>
          <w:tcPr>
            <w:tcW w:w="1982" w:type="dxa"/>
            <w:vMerge w:val="continue"/>
            <w:tcBorders>
              <w:left w:val="single" w:color="auto" w:sz="4" w:space="0"/>
              <w:right w:val="single" w:color="000000" w:sz="4" w:space="0"/>
            </w:tcBorders>
            <w:shd w:val="clear" w:color="auto" w:fill="auto"/>
            <w:vAlign w:val="center"/>
          </w:tcPr>
          <w:p w14:paraId="39CE9F17">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7CAB">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E204">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98BF">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FBC1">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4517">
            <w:pPr>
              <w:jc w:val="left"/>
              <w:rPr>
                <w:rFonts w:ascii="宋体" w:hAnsi="宋体" w:eastAsia="宋体" w:cs="宋体"/>
                <w:color w:val="000000" w:themeColor="text1"/>
                <w:szCs w:val="21"/>
                <w14:textFill>
                  <w14:solidFill>
                    <w14:schemeClr w14:val="tx1"/>
                  </w14:solidFill>
                </w14:textFill>
              </w:rPr>
            </w:pPr>
          </w:p>
        </w:tc>
      </w:tr>
      <w:tr w14:paraId="1213F4A4">
        <w:tblPrEx>
          <w:tblCellMar>
            <w:top w:w="0" w:type="dxa"/>
            <w:left w:w="108" w:type="dxa"/>
            <w:bottom w:w="0" w:type="dxa"/>
            <w:right w:w="108" w:type="dxa"/>
          </w:tblCellMar>
        </w:tblPrEx>
        <w:trPr>
          <w:trHeight w:val="540"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626C">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ascii="宋体" w:hAnsi="宋体" w:eastAsia="宋体" w:cs="宋体"/>
                <w:color w:val="000000" w:themeColor="text1"/>
                <w:szCs w:val="21"/>
                <w14:textFill>
                  <w14:solidFill>
                    <w14:schemeClr w14:val="tx1"/>
                  </w14:solidFill>
                </w14:textFill>
              </w:rPr>
              <w:t>1</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126DFA48">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单组分聚氨酯防水涂料I型</w:t>
            </w:r>
          </w:p>
        </w:tc>
        <w:tc>
          <w:tcPr>
            <w:tcW w:w="1982" w:type="dxa"/>
            <w:vMerge w:val="continue"/>
            <w:tcBorders>
              <w:left w:val="single" w:color="auto" w:sz="4" w:space="0"/>
              <w:right w:val="single" w:color="000000" w:sz="4" w:space="0"/>
            </w:tcBorders>
            <w:shd w:val="clear" w:color="auto" w:fill="auto"/>
            <w:vAlign w:val="center"/>
          </w:tcPr>
          <w:p w14:paraId="5C307395">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1141B">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5669">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F4B0D">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A28B7">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4B3B">
            <w:pPr>
              <w:jc w:val="left"/>
              <w:rPr>
                <w:rFonts w:ascii="宋体" w:hAnsi="宋体" w:eastAsia="宋体" w:cs="宋体"/>
                <w:color w:val="000000" w:themeColor="text1"/>
                <w:szCs w:val="21"/>
                <w14:textFill>
                  <w14:solidFill>
                    <w14:schemeClr w14:val="tx1"/>
                  </w14:solidFill>
                </w14:textFill>
              </w:rPr>
            </w:pPr>
          </w:p>
        </w:tc>
      </w:tr>
      <w:tr w14:paraId="637361FA">
        <w:tblPrEx>
          <w:tblCellMar>
            <w:top w:w="0" w:type="dxa"/>
            <w:left w:w="108" w:type="dxa"/>
            <w:bottom w:w="0" w:type="dxa"/>
            <w:right w:w="108" w:type="dxa"/>
          </w:tblCellMar>
        </w:tblPrEx>
        <w:trPr>
          <w:trHeight w:val="540"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6D8EB">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ascii="宋体" w:hAnsi="宋体" w:eastAsia="宋体" w:cs="宋体"/>
                <w:color w:val="000000" w:themeColor="text1"/>
                <w:szCs w:val="21"/>
                <w14:textFill>
                  <w14:solidFill>
                    <w14:schemeClr w14:val="tx1"/>
                  </w14:solidFill>
                </w14:textFill>
              </w:rPr>
              <w:t>2</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4E04F20C">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聚合物水泥防水涂料I型</w:t>
            </w:r>
          </w:p>
        </w:tc>
        <w:tc>
          <w:tcPr>
            <w:tcW w:w="1982" w:type="dxa"/>
            <w:vMerge w:val="continue"/>
            <w:tcBorders>
              <w:left w:val="single" w:color="auto" w:sz="4" w:space="0"/>
              <w:bottom w:val="single" w:color="000000" w:sz="4" w:space="0"/>
              <w:right w:val="single" w:color="000000" w:sz="4" w:space="0"/>
            </w:tcBorders>
            <w:shd w:val="clear" w:color="auto" w:fill="auto"/>
            <w:vAlign w:val="center"/>
          </w:tcPr>
          <w:p w14:paraId="57B2CBD7">
            <w:pPr>
              <w:widowControl/>
              <w:jc w:val="center"/>
              <w:textAlignment w:val="center"/>
              <w:rPr>
                <w:rFonts w:ascii="宋体" w:hAnsi="宋体" w:eastAsia="宋体" w:cs="宋体"/>
                <w:color w:val="000000" w:themeColor="text1"/>
                <w:szCs w:val="21"/>
                <w14:textFill>
                  <w14:solidFill>
                    <w14:schemeClr w14:val="tx1"/>
                  </w14:solidFill>
                </w14:textFill>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1C4C">
            <w:pPr>
              <w:widowControl/>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1</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2C34">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组</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A658">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DFCC">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5499">
            <w:pPr>
              <w:jc w:val="left"/>
              <w:rPr>
                <w:rFonts w:ascii="宋体" w:hAnsi="宋体" w:eastAsia="宋体" w:cs="宋体"/>
                <w:color w:val="000000" w:themeColor="text1"/>
                <w:szCs w:val="21"/>
                <w14:textFill>
                  <w14:solidFill>
                    <w14:schemeClr w14:val="tx1"/>
                  </w14:solidFill>
                </w14:textFill>
              </w:rPr>
            </w:pPr>
          </w:p>
        </w:tc>
      </w:tr>
      <w:tr w14:paraId="2BDF3216">
        <w:tblPrEx>
          <w:tblCellMar>
            <w:top w:w="0" w:type="dxa"/>
            <w:left w:w="108" w:type="dxa"/>
            <w:bottom w:w="0" w:type="dxa"/>
            <w:right w:w="108" w:type="dxa"/>
          </w:tblCellMar>
        </w:tblPrEx>
        <w:trPr>
          <w:trHeight w:val="810"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3E65">
            <w:pPr>
              <w:widowControl/>
              <w:jc w:val="center"/>
              <w:textAlignment w:val="cente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14:textFill>
                  <w14:solidFill>
                    <w14:schemeClr w14:val="tx1"/>
                  </w14:solidFill>
                </w14:textFill>
              </w:rPr>
              <w:t>3</w:t>
            </w:r>
          </w:p>
        </w:tc>
        <w:tc>
          <w:tcPr>
            <w:tcW w:w="2123" w:type="dxa"/>
            <w:tcBorders>
              <w:top w:val="single" w:color="000000" w:sz="4" w:space="0"/>
              <w:left w:val="single" w:color="000000" w:sz="4" w:space="0"/>
              <w:bottom w:val="single" w:color="000000" w:sz="4" w:space="0"/>
              <w:right w:val="single" w:color="auto" w:sz="4" w:space="0"/>
            </w:tcBorders>
            <w:shd w:val="clear" w:color="auto" w:fill="auto"/>
            <w:vAlign w:val="center"/>
          </w:tcPr>
          <w:p w14:paraId="008F6711">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室内空气污染物</w:t>
            </w:r>
          </w:p>
        </w:tc>
        <w:tc>
          <w:tcPr>
            <w:tcW w:w="1982" w:type="dxa"/>
            <w:tcBorders>
              <w:top w:val="single" w:color="000000" w:sz="4" w:space="0"/>
              <w:left w:val="single" w:color="auto" w:sz="4" w:space="0"/>
              <w:bottom w:val="single" w:color="000000" w:sz="4" w:space="0"/>
              <w:right w:val="single" w:color="000000" w:sz="4" w:space="0"/>
            </w:tcBorders>
            <w:shd w:val="clear" w:color="auto" w:fill="auto"/>
            <w:vAlign w:val="center"/>
          </w:tcPr>
          <w:p w14:paraId="232B1560">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甲醛、TVOC、苯、氡、氨、甲苯、二甲苯的浓度</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3D7B9">
            <w:pPr>
              <w:widowControl/>
              <w:jc w:val="center"/>
              <w:textAlignment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bidi="ar"/>
                <w14:textFill>
                  <w14:solidFill>
                    <w14:schemeClr w14:val="tx1"/>
                  </w14:solidFill>
                </w14:textFill>
              </w:rPr>
              <w:t>50</w:t>
            </w:r>
          </w:p>
        </w:tc>
        <w:tc>
          <w:tcPr>
            <w:tcW w:w="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75D7">
            <w:pPr>
              <w:widowControl/>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点</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F2CE0">
            <w:pPr>
              <w:jc w:val="center"/>
              <w:rPr>
                <w:rFonts w:ascii="宋体" w:hAnsi="宋体" w:eastAsia="宋体" w:cs="宋体"/>
                <w:color w:val="000000" w:themeColor="text1"/>
                <w:szCs w:val="21"/>
                <w14:textFill>
                  <w14:solidFill>
                    <w14:schemeClr w14:val="tx1"/>
                  </w14:solidFill>
                </w14:textFill>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EF4C">
            <w:pPr>
              <w:jc w:val="cente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DAA6">
            <w:pPr>
              <w:jc w:val="left"/>
              <w:rPr>
                <w:rFonts w:ascii="宋体" w:hAnsi="宋体" w:eastAsia="宋体" w:cs="宋体"/>
                <w:color w:val="000000" w:themeColor="text1"/>
                <w:szCs w:val="21"/>
                <w14:textFill>
                  <w14:solidFill>
                    <w14:schemeClr w14:val="tx1"/>
                  </w14:solidFill>
                </w14:textFill>
              </w:rPr>
            </w:pPr>
          </w:p>
        </w:tc>
      </w:tr>
      <w:tr w14:paraId="09A31502">
        <w:tblPrEx>
          <w:tblCellMar>
            <w:top w:w="0" w:type="dxa"/>
            <w:left w:w="108" w:type="dxa"/>
            <w:bottom w:w="0" w:type="dxa"/>
            <w:right w:w="108" w:type="dxa"/>
          </w:tblCellMar>
        </w:tblPrEx>
        <w:trPr>
          <w:trHeight w:val="540" w:hRule="atLeast"/>
          <w:jc w:val="center"/>
        </w:trPr>
        <w:tc>
          <w:tcPr>
            <w:tcW w:w="56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3B925D4">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4</w:t>
            </w:r>
          </w:p>
        </w:tc>
        <w:tc>
          <w:tcPr>
            <w:tcW w:w="4105" w:type="dxa"/>
            <w:gridSpan w:val="2"/>
            <w:tcBorders>
              <w:top w:val="single" w:color="000000" w:sz="4" w:space="0"/>
              <w:left w:val="single" w:color="auto" w:sz="4" w:space="0"/>
              <w:bottom w:val="single" w:color="000000" w:sz="4" w:space="0"/>
            </w:tcBorders>
            <w:shd w:val="clear" w:color="auto" w:fill="auto"/>
            <w:vAlign w:val="center"/>
          </w:tcPr>
          <w:p w14:paraId="14309769">
            <w:pPr>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暂列金</w:t>
            </w:r>
          </w:p>
        </w:tc>
        <w:tc>
          <w:tcPr>
            <w:tcW w:w="710" w:type="dxa"/>
            <w:tcBorders>
              <w:top w:val="single" w:color="000000" w:sz="4" w:space="0"/>
              <w:left w:val="single" w:color="auto" w:sz="4" w:space="0"/>
              <w:bottom w:val="single" w:color="000000" w:sz="4" w:space="0"/>
            </w:tcBorders>
            <w:shd w:val="clear" w:color="auto" w:fill="auto"/>
            <w:vAlign w:val="center"/>
          </w:tcPr>
          <w:p w14:paraId="26B9380C">
            <w:pPr>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425" w:type="dxa"/>
            <w:tcBorders>
              <w:top w:val="single" w:color="000000" w:sz="4" w:space="0"/>
              <w:left w:val="single" w:color="auto" w:sz="4" w:space="0"/>
              <w:bottom w:val="single" w:color="000000" w:sz="4" w:space="0"/>
            </w:tcBorders>
            <w:shd w:val="clear" w:color="auto" w:fill="auto"/>
            <w:vAlign w:val="center"/>
          </w:tcPr>
          <w:p w14:paraId="61402552">
            <w:pPr>
              <w:jc w:val="center"/>
              <w:textAlignment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项</w:t>
            </w:r>
          </w:p>
        </w:tc>
        <w:tc>
          <w:tcPr>
            <w:tcW w:w="113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84EB574">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20</w:t>
            </w:r>
            <w:r>
              <w:rPr>
                <w:rFonts w:ascii="宋体" w:hAnsi="宋体" w:eastAsia="宋体" w:cs="宋体"/>
                <w:color w:val="000000" w:themeColor="text1"/>
                <w:szCs w:val="21"/>
                <w14:textFill>
                  <w14:solidFill>
                    <w14:schemeClr w14:val="tx1"/>
                  </w14:solidFill>
                </w14:textFill>
              </w:rPr>
              <w:t>000</w:t>
            </w:r>
          </w:p>
        </w:tc>
        <w:tc>
          <w:tcPr>
            <w:tcW w:w="1134" w:type="dxa"/>
            <w:tcBorders>
              <w:top w:val="single" w:color="000000" w:sz="4" w:space="0"/>
              <w:left w:val="single" w:color="auto" w:sz="4" w:space="0"/>
              <w:bottom w:val="single" w:color="000000" w:sz="4" w:space="0"/>
              <w:right w:val="single" w:color="000000" w:sz="4" w:space="0"/>
            </w:tcBorders>
            <w:shd w:val="clear" w:color="auto" w:fill="auto"/>
            <w:vAlign w:val="center"/>
          </w:tcPr>
          <w:p w14:paraId="6AFC4801">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20</w:t>
            </w:r>
            <w:r>
              <w:rPr>
                <w:rFonts w:ascii="宋体" w:hAnsi="宋体" w:eastAsia="宋体" w:cs="宋体"/>
                <w:color w:val="000000" w:themeColor="text1"/>
                <w:szCs w:val="21"/>
                <w14:textFill>
                  <w14:solidFill>
                    <w14:schemeClr w14:val="tx1"/>
                  </w14:solidFill>
                </w14:textFill>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1CF2">
            <w:pPr>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不可竞争费用</w:t>
            </w:r>
          </w:p>
        </w:tc>
      </w:tr>
      <w:tr w14:paraId="7C11E133">
        <w:tblPrEx>
          <w:tblCellMar>
            <w:top w:w="0" w:type="dxa"/>
            <w:left w:w="108" w:type="dxa"/>
            <w:bottom w:w="0" w:type="dxa"/>
            <w:right w:w="108" w:type="dxa"/>
          </w:tblCellMar>
        </w:tblPrEx>
        <w:trPr>
          <w:trHeight w:val="454" w:hRule="atLeast"/>
          <w:jc w:val="center"/>
        </w:trPr>
        <w:tc>
          <w:tcPr>
            <w:tcW w:w="56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13C9B14">
            <w:pPr>
              <w:widowControl/>
              <w:jc w:val="center"/>
              <w:textAlignment w:val="center"/>
              <w:rPr>
                <w:rFonts w:hint="eastAsia" w:ascii="宋体" w:hAnsi="宋体" w:eastAsia="宋体" w:cs="宋体"/>
                <w:color w:val="000000" w:themeColor="text1"/>
                <w:kern w:val="0"/>
                <w:szCs w:val="21"/>
                <w:lang w:val="en-US" w:eastAsia="zh-CN" w:bidi="ar"/>
                <w14:textFill>
                  <w14:solidFill>
                    <w14:schemeClr w14:val="tx1"/>
                  </w14:solidFill>
                </w14:textFill>
              </w:rPr>
            </w:pPr>
            <w:r>
              <w:rPr>
                <w:rFonts w:ascii="宋体" w:hAnsi="宋体" w:eastAsia="宋体" w:cs="宋体"/>
                <w:color w:val="000000" w:themeColor="text1"/>
                <w:kern w:val="0"/>
                <w:szCs w:val="21"/>
                <w:lang w:bidi="ar"/>
                <w14:textFill>
                  <w14:solidFill>
                    <w14:schemeClr w14:val="tx1"/>
                  </w14:solidFill>
                </w14:textFill>
              </w:rPr>
              <w:t>1</w:t>
            </w:r>
            <w:r>
              <w:rPr>
                <w:rFonts w:hint="eastAsia" w:ascii="宋体" w:hAnsi="宋体" w:eastAsia="宋体" w:cs="宋体"/>
                <w:color w:val="000000" w:themeColor="text1"/>
                <w:kern w:val="0"/>
                <w:szCs w:val="21"/>
                <w:lang w:val="en-US" w:eastAsia="zh-CN" w:bidi="ar"/>
                <w14:textFill>
                  <w14:solidFill>
                    <w14:schemeClr w14:val="tx1"/>
                  </w14:solidFill>
                </w14:textFill>
              </w:rPr>
              <w:t>5</w:t>
            </w:r>
          </w:p>
        </w:tc>
        <w:tc>
          <w:tcPr>
            <w:tcW w:w="5240" w:type="dxa"/>
            <w:gridSpan w:val="4"/>
            <w:tcBorders>
              <w:top w:val="single" w:color="000000" w:sz="4" w:space="0"/>
              <w:left w:val="single" w:color="000000" w:sz="4" w:space="0"/>
              <w:bottom w:val="single" w:color="000000" w:sz="4" w:space="0"/>
              <w:right w:val="single" w:color="auto" w:sz="4" w:space="0"/>
            </w:tcBorders>
            <w:shd w:val="clear" w:color="auto" w:fill="auto"/>
            <w:vAlign w:val="center"/>
          </w:tcPr>
          <w:p w14:paraId="18F01818">
            <w:pPr>
              <w:jc w:val="center"/>
              <w:textAlignment w:val="center"/>
              <w:rPr>
                <w:rFonts w:ascii="宋体" w:hAnsi="宋体" w:eastAsia="宋体" w:cs="宋体"/>
                <w:color w:val="000000" w:themeColor="text1"/>
                <w:kern w:val="0"/>
                <w:szCs w:val="21"/>
                <w:lang w:bidi="ar"/>
                <w14:textFill>
                  <w14:solidFill>
                    <w14:schemeClr w14:val="tx1"/>
                  </w14:solidFill>
                </w14:textFill>
              </w:rPr>
            </w:pPr>
            <w:r>
              <w:rPr>
                <w:rFonts w:hint="eastAsia" w:ascii="宋体" w:hAnsi="宋体" w:eastAsia="宋体" w:cs="宋体"/>
                <w:color w:val="000000" w:themeColor="text1"/>
                <w:kern w:val="0"/>
                <w:szCs w:val="21"/>
                <w:lang w:bidi="ar"/>
                <w14:textFill>
                  <w14:solidFill>
                    <w14:schemeClr w14:val="tx1"/>
                  </w14:solidFill>
                </w14:textFill>
              </w:rPr>
              <w:t>报价（1</w:t>
            </w:r>
            <w:r>
              <w:rPr>
                <w:rFonts w:ascii="宋体" w:hAnsi="宋体" w:eastAsia="宋体" w:cs="宋体"/>
                <w:color w:val="000000" w:themeColor="text1"/>
                <w:kern w:val="0"/>
                <w:szCs w:val="21"/>
                <w:lang w:bidi="ar"/>
                <w14:textFill>
                  <w14:solidFill>
                    <w14:schemeClr w14:val="tx1"/>
                  </w14:solidFill>
                </w14:textFill>
              </w:rPr>
              <w:t>+2+3+4+5+6+7+8+9+10+11+12+13+</w:t>
            </w:r>
            <w:r>
              <w:rPr>
                <w:rFonts w:hint="eastAsia" w:ascii="宋体" w:hAnsi="宋体" w:eastAsia="宋体" w:cs="宋体"/>
                <w:color w:val="000000" w:themeColor="text1"/>
                <w:kern w:val="0"/>
                <w:szCs w:val="21"/>
                <w:lang w:bidi="ar"/>
                <w14:textFill>
                  <w14:solidFill>
                    <w14:schemeClr w14:val="tx1"/>
                  </w14:solidFill>
                </w14:textFill>
              </w:rPr>
              <w:t>14）</w:t>
            </w:r>
          </w:p>
        </w:tc>
        <w:tc>
          <w:tcPr>
            <w:tcW w:w="2268"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12F9C74">
            <w:pPr>
              <w:rPr>
                <w:rFonts w:ascii="宋体" w:hAnsi="宋体" w:eastAsia="宋体" w:cs="宋体"/>
                <w:color w:val="000000" w:themeColor="text1"/>
                <w:szCs w:val="21"/>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C518">
            <w:pPr>
              <w:jc w:val="left"/>
              <w:rPr>
                <w:rFonts w:ascii="宋体" w:hAnsi="宋体" w:eastAsia="宋体" w:cs="宋体"/>
                <w:color w:val="000000" w:themeColor="text1"/>
                <w:szCs w:val="21"/>
                <w14:textFill>
                  <w14:solidFill>
                    <w14:schemeClr w14:val="tx1"/>
                  </w14:solidFill>
                </w14:textFill>
              </w:rPr>
            </w:pPr>
          </w:p>
        </w:tc>
      </w:tr>
    </w:tbl>
    <w:p w14:paraId="3442A129">
      <w:pPr>
        <w:widowControl/>
        <w:spacing w:line="360" w:lineRule="exact"/>
        <w:ind w:left="420" w:hanging="420" w:hanging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注：</w:t>
      </w:r>
    </w:p>
    <w:p w14:paraId="7D1EE1FD">
      <w:pPr>
        <w:widowControl/>
        <w:spacing w:line="300" w:lineRule="exact"/>
        <w:ind w:left="420" w:hanging="420" w:hanging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1、所有分项价格应按本采购文件的规定要求填写，</w:t>
      </w:r>
      <w:r>
        <w:rPr>
          <w:rFonts w:hint="eastAsia" w:ascii="宋体" w:hAnsi="宋体" w:eastAsia="宋体" w:cs="Times New Roman"/>
          <w:color w:val="000000" w:themeColor="text1"/>
          <w:kern w:val="0"/>
          <w:szCs w:val="20"/>
          <w14:textFill>
            <w14:solidFill>
              <w14:schemeClr w14:val="tx1"/>
            </w14:solidFill>
          </w14:textFill>
        </w:rPr>
        <w:t>同时</w:t>
      </w:r>
      <w:r>
        <w:rPr>
          <w:rFonts w:hint="eastAsia" w:ascii="宋体" w:hAnsi="宋体"/>
          <w:color w:val="000000" w:themeColor="text1"/>
          <w:kern w:val="0"/>
          <w:szCs w:val="20"/>
          <w14:textFill>
            <w14:solidFill>
              <w14:schemeClr w14:val="tx1"/>
            </w14:solidFill>
          </w14:textFill>
        </w:rPr>
        <w:t>本表中的</w:t>
      </w:r>
      <w:r>
        <w:rPr>
          <w:rFonts w:hint="eastAsia" w:ascii="宋体" w:hAnsi="宋体" w:eastAsia="宋体" w:cs="Times New Roman"/>
          <w:color w:val="000000" w:themeColor="text1"/>
          <w:kern w:val="0"/>
          <w:szCs w:val="20"/>
          <w14:textFill>
            <w14:solidFill>
              <w14:schemeClr w14:val="tx1"/>
            </w14:solidFill>
          </w14:textFill>
        </w:rPr>
        <w:t>报价</w:t>
      </w:r>
      <w:r>
        <w:rPr>
          <w:rFonts w:hint="eastAsia" w:ascii="宋体" w:hAnsi="宋体"/>
          <w:color w:val="000000" w:themeColor="text1"/>
          <w:kern w:val="0"/>
          <w:szCs w:val="20"/>
          <w14:textFill>
            <w14:solidFill>
              <w14:schemeClr w14:val="tx1"/>
            </w14:solidFill>
          </w14:textFill>
        </w:rPr>
        <w:t>须</w:t>
      </w:r>
      <w:r>
        <w:rPr>
          <w:rFonts w:hint="eastAsia" w:ascii="宋体" w:hAnsi="宋体" w:eastAsia="宋体" w:cs="Times New Roman"/>
          <w:color w:val="000000" w:themeColor="text1"/>
          <w:kern w:val="0"/>
          <w:szCs w:val="20"/>
          <w14:textFill>
            <w14:solidFill>
              <w14:schemeClr w14:val="tx1"/>
            </w14:solidFill>
          </w14:textFill>
        </w:rPr>
        <w:t>与</w:t>
      </w:r>
      <w:r>
        <w:rPr>
          <w:rFonts w:hint="eastAsia" w:ascii="宋体" w:hAnsi="宋体"/>
          <w:color w:val="000000" w:themeColor="text1"/>
          <w:kern w:val="0"/>
          <w:szCs w:val="20"/>
          <w14:textFill>
            <w14:solidFill>
              <w14:schemeClr w14:val="tx1"/>
            </w14:solidFill>
          </w14:textFill>
        </w:rPr>
        <w:t>《报价一览</w:t>
      </w:r>
      <w:r>
        <w:rPr>
          <w:rFonts w:hint="eastAsia" w:ascii="宋体" w:hAnsi="宋体" w:eastAsia="宋体" w:cs="Times New Roman"/>
          <w:color w:val="000000" w:themeColor="text1"/>
          <w:kern w:val="0"/>
          <w:szCs w:val="20"/>
          <w14:textFill>
            <w14:solidFill>
              <w14:schemeClr w14:val="tx1"/>
            </w14:solidFill>
          </w14:textFill>
        </w:rPr>
        <w:t>表</w:t>
      </w:r>
      <w:r>
        <w:rPr>
          <w:rFonts w:hint="eastAsia" w:ascii="宋体" w:hAnsi="宋体"/>
          <w:color w:val="000000" w:themeColor="text1"/>
          <w:kern w:val="0"/>
          <w:szCs w:val="20"/>
          <w14:textFill>
            <w14:solidFill>
              <w14:schemeClr w14:val="tx1"/>
            </w14:solidFill>
          </w14:textFill>
        </w:rPr>
        <w:t>》</w:t>
      </w:r>
      <w:r>
        <w:rPr>
          <w:rFonts w:hint="eastAsia" w:ascii="宋体" w:hAnsi="宋体" w:eastAsia="宋体" w:cs="Times New Roman"/>
          <w:color w:val="000000" w:themeColor="text1"/>
          <w:kern w:val="0"/>
          <w:szCs w:val="20"/>
          <w14:textFill>
            <w14:solidFill>
              <w14:schemeClr w14:val="tx1"/>
            </w14:solidFill>
          </w14:textFill>
        </w:rPr>
        <w:t>中</w:t>
      </w:r>
      <w:r>
        <w:rPr>
          <w:rFonts w:hint="eastAsia" w:ascii="宋体" w:hAnsi="宋体"/>
          <w:color w:val="000000" w:themeColor="text1"/>
          <w:kern w:val="0"/>
          <w:szCs w:val="20"/>
          <w14:textFill>
            <w14:solidFill>
              <w14:schemeClr w14:val="tx1"/>
            </w14:solidFill>
          </w14:textFill>
        </w:rPr>
        <w:t>的报价</w:t>
      </w:r>
      <w:r>
        <w:rPr>
          <w:rFonts w:hint="eastAsia" w:ascii="宋体" w:hAnsi="宋体" w:eastAsia="宋体" w:cs="Times New Roman"/>
          <w:color w:val="000000" w:themeColor="text1"/>
          <w:kern w:val="0"/>
          <w:szCs w:val="20"/>
          <w14:textFill>
            <w14:solidFill>
              <w14:schemeClr w14:val="tx1"/>
            </w14:solidFill>
          </w14:textFill>
        </w:rPr>
        <w:t>一致，否则报价无效；</w:t>
      </w:r>
    </w:p>
    <w:p w14:paraId="34B3173C">
      <w:pPr>
        <w:pStyle w:val="23"/>
        <w:numPr>
          <w:ilvl w:val="0"/>
          <w:numId w:val="3"/>
        </w:numPr>
        <w:spacing w:line="300" w:lineRule="exact"/>
        <w:ind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0"/>
          <w14:textFill>
            <w14:solidFill>
              <w14:schemeClr w14:val="tx1"/>
            </w14:solidFill>
          </w14:textFill>
        </w:rPr>
        <w:t>各项检测费按全费用综合单价包干报价，报价已含所需的检测费、劳务费、材料费、仪器工具使用费、进退场费、交通费、差旅费、保险费、试验费、报告编写费、实物工作收费、技术工作收费、参加相关验收的费用、各项管理费，以及所有因对应标段服务工作应交纳的政府规费、利润、税金等全部费用。如出现在上表已列项目需增加的检测量及未列的项目，均视为已计入暂列金，并按本询价文件付款方式的相应条款执行。</w:t>
      </w:r>
    </w:p>
    <w:p w14:paraId="31A7AC7D">
      <w:pPr>
        <w:pStyle w:val="13"/>
        <w:numPr>
          <w:ilvl w:val="0"/>
          <w:numId w:val="3"/>
        </w:numPr>
        <w:ind w:firstLineChars="0"/>
        <w:rPr>
          <w:color w:val="000000" w:themeColor="text1"/>
          <w14:textFill>
            <w14:solidFill>
              <w14:schemeClr w14:val="tx1"/>
            </w14:solidFill>
          </w14:textFill>
        </w:rPr>
      </w:pPr>
      <w:r>
        <w:rPr>
          <w:rFonts w:hint="eastAsia" w:ascii="宋体" w:hAnsi="宋体" w:eastAsia="宋体" w:cs="Times New Roman"/>
          <w:color w:val="000000" w:themeColor="text1"/>
          <w:kern w:val="0"/>
          <w:sz w:val="21"/>
          <w:szCs w:val="20"/>
          <w14:textFill>
            <w14:solidFill>
              <w14:schemeClr w14:val="tx1"/>
            </w14:solidFill>
          </w14:textFill>
        </w:rPr>
        <w:t>当《清单报价表》内的工程量增加或检测内容调整必须使用暂列金时，增加的总金额不得超过暂列金，若超过暂列金则按暂列金结算。</w:t>
      </w:r>
    </w:p>
    <w:p w14:paraId="10849DAD">
      <w:pPr>
        <w:pStyle w:val="23"/>
        <w:widowControl/>
        <w:numPr>
          <w:ilvl w:val="0"/>
          <w:numId w:val="3"/>
        </w:numPr>
        <w:spacing w:line="300" w:lineRule="exact"/>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0"/>
          <w14:textFill>
            <w14:solidFill>
              <w14:schemeClr w14:val="tx1"/>
            </w14:solidFill>
          </w14:textFill>
        </w:rPr>
        <w:t>如有其他特殊说明事项，可在“备注”栏内明确表述。</w:t>
      </w:r>
    </w:p>
    <w:p w14:paraId="5AD65A90">
      <w:pPr>
        <w:pStyle w:val="23"/>
        <w:spacing w:line="360" w:lineRule="auto"/>
        <w:ind w:left="362" w:right="210" w:firstLine="0" w:firstLineChars="0"/>
        <w:jc w:val="righ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供应商名称（单位公章）：</w:t>
      </w:r>
    </w:p>
    <w:p w14:paraId="6111587B">
      <w:pPr>
        <w:pStyle w:val="23"/>
        <w:spacing w:line="360" w:lineRule="auto"/>
        <w:ind w:left="362" w:right="210" w:firstLine="0" w:firstLineChars="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     年   月    日</w:t>
      </w:r>
      <w:r>
        <w:rPr>
          <w:rFonts w:hint="eastAsia" w:ascii="宋体" w:hAnsi="宋体"/>
          <w:color w:val="000000" w:themeColor="text1"/>
          <w:szCs w:val="21"/>
          <w14:textFill>
            <w14:solidFill>
              <w14:schemeClr w14:val="tx1"/>
            </w14:solidFill>
          </w14:textFill>
        </w:rPr>
        <w:br w:type="page"/>
      </w:r>
    </w:p>
    <w:p w14:paraId="71769DED">
      <w:pPr>
        <w:keepNext/>
        <w:keepLines/>
        <w:autoSpaceDE w:val="0"/>
        <w:autoSpaceDN w:val="0"/>
        <w:adjustRightInd w:val="0"/>
        <w:spacing w:before="260" w:after="260" w:line="360" w:lineRule="exact"/>
        <w:jc w:val="center"/>
        <w:outlineLvl w:val="1"/>
        <w:rPr>
          <w:rFonts w:ascii="宋体" w:hAnsi="宋体" w:cs="Arial"/>
          <w:b/>
          <w:bCs/>
          <w:color w:val="000000" w:themeColor="text1"/>
          <w:sz w:val="28"/>
          <w:szCs w:val="28"/>
          <w:lang w:val="zh-CN"/>
          <w14:textFill>
            <w14:solidFill>
              <w14:schemeClr w14:val="tx1"/>
            </w14:solidFill>
          </w14:textFill>
        </w:rPr>
      </w:pPr>
      <w:r>
        <w:rPr>
          <w:rFonts w:hint="eastAsia" w:ascii="宋体" w:hAnsi="宋体" w:cs="Arial"/>
          <w:b/>
          <w:bCs/>
          <w:color w:val="000000" w:themeColor="text1"/>
          <w:sz w:val="28"/>
          <w:szCs w:val="28"/>
          <w:lang w:val="zh-CN"/>
          <w14:textFill>
            <w14:solidFill>
              <w14:schemeClr w14:val="tx1"/>
            </w14:solidFill>
          </w14:textFill>
        </w:rPr>
        <w:t>格式</w:t>
      </w:r>
      <w:r>
        <w:rPr>
          <w:rFonts w:ascii="宋体" w:hAnsi="宋体" w:cs="Arial"/>
          <w:b/>
          <w:bCs/>
          <w:color w:val="000000" w:themeColor="text1"/>
          <w:sz w:val="28"/>
          <w:szCs w:val="28"/>
          <w14:textFill>
            <w14:solidFill>
              <w14:schemeClr w14:val="tx1"/>
            </w14:solidFill>
          </w14:textFill>
        </w:rPr>
        <w:t>3</w:t>
      </w:r>
      <w:r>
        <w:rPr>
          <w:rFonts w:hint="eastAsia" w:ascii="宋体" w:hAnsi="宋体" w:cs="Arial"/>
          <w:b/>
          <w:bCs/>
          <w:color w:val="000000" w:themeColor="text1"/>
          <w:sz w:val="28"/>
          <w:szCs w:val="28"/>
          <w:lang w:val="zh-CN"/>
          <w14:textFill>
            <w14:solidFill>
              <w14:schemeClr w14:val="tx1"/>
            </w14:solidFill>
          </w14:textFill>
        </w:rPr>
        <w:t xml:space="preserve">  实质性响应一览表</w:t>
      </w:r>
    </w:p>
    <w:tbl>
      <w:tblPr>
        <w:tblStyle w:val="14"/>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850"/>
        <w:gridCol w:w="5954"/>
        <w:gridCol w:w="1134"/>
        <w:gridCol w:w="1021"/>
      </w:tblGrid>
      <w:tr w14:paraId="6AF2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421" w:type="dxa"/>
            <w:vAlign w:val="center"/>
          </w:tcPr>
          <w:p w14:paraId="307CEA07">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850" w:type="dxa"/>
            <w:vAlign w:val="center"/>
          </w:tcPr>
          <w:p w14:paraId="4C813F42">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技术指标条目</w:t>
            </w:r>
          </w:p>
        </w:tc>
        <w:tc>
          <w:tcPr>
            <w:tcW w:w="5954" w:type="dxa"/>
            <w:vAlign w:val="center"/>
          </w:tcPr>
          <w:p w14:paraId="31CA1D88">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询价文件要求</w:t>
            </w:r>
          </w:p>
        </w:tc>
        <w:tc>
          <w:tcPr>
            <w:tcW w:w="1134" w:type="dxa"/>
            <w:vAlign w:val="center"/>
          </w:tcPr>
          <w:p w14:paraId="1EBB39D8">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报价文件响应</w:t>
            </w:r>
          </w:p>
        </w:tc>
        <w:tc>
          <w:tcPr>
            <w:tcW w:w="1021" w:type="dxa"/>
            <w:vAlign w:val="center"/>
          </w:tcPr>
          <w:p w14:paraId="52A95476">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p>
        </w:tc>
      </w:tr>
      <w:tr w14:paraId="1686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421" w:type="dxa"/>
            <w:vAlign w:val="center"/>
          </w:tcPr>
          <w:p w14:paraId="362AFE4B">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p w14:paraId="09ACCB43">
            <w:pPr>
              <w:spacing w:line="360" w:lineRule="exact"/>
              <w:jc w:val="center"/>
              <w:rPr>
                <w:rFonts w:ascii="宋体" w:hAnsi="宋体"/>
                <w:color w:val="000000" w:themeColor="text1"/>
                <w:szCs w:val="21"/>
                <w14:textFill>
                  <w14:solidFill>
                    <w14:schemeClr w14:val="tx1"/>
                  </w14:solidFill>
                </w14:textFill>
              </w:rPr>
            </w:pPr>
          </w:p>
        </w:tc>
        <w:tc>
          <w:tcPr>
            <w:tcW w:w="850" w:type="dxa"/>
            <w:vAlign w:val="center"/>
          </w:tcPr>
          <w:p w14:paraId="64C155E2">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资质</w:t>
            </w:r>
          </w:p>
          <w:p w14:paraId="0F13F511">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证书</w:t>
            </w:r>
          </w:p>
          <w:p w14:paraId="15C7C2F6">
            <w:pPr>
              <w:spacing w:line="360" w:lineRule="exact"/>
              <w:jc w:val="center"/>
              <w:rPr>
                <w:rFonts w:ascii="宋体" w:hAnsi="宋体"/>
                <w:color w:val="000000" w:themeColor="text1"/>
                <w:szCs w:val="21"/>
                <w14:textFill>
                  <w14:solidFill>
                    <w14:schemeClr w14:val="tx1"/>
                  </w14:solidFill>
                </w14:textFill>
              </w:rPr>
            </w:pPr>
          </w:p>
        </w:tc>
        <w:tc>
          <w:tcPr>
            <w:tcW w:w="5954" w:type="dxa"/>
          </w:tcPr>
          <w:p w14:paraId="53E64E8E">
            <w:pPr>
              <w:spacing w:line="3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供应商须建设行政主管部门颁发的建设工程质量检测机构资质证书，检测服务期间证书</w:t>
            </w:r>
            <w:r>
              <w:rPr>
                <w:rFonts w:hint="eastAsia" w:ascii="宋体" w:hAnsi="宋体" w:cs="宋体"/>
                <w:color w:val="000000" w:themeColor="text1"/>
                <w:lang w:val="en-US" w:eastAsia="zh-CN"/>
                <w14:textFill>
                  <w14:solidFill>
                    <w14:schemeClr w14:val="tx1"/>
                  </w14:solidFill>
                </w14:textFill>
              </w:rPr>
              <w:t>须</w:t>
            </w:r>
            <w:r>
              <w:rPr>
                <w:rFonts w:hint="eastAsia" w:ascii="宋体" w:hAnsi="宋体" w:cs="宋体"/>
                <w:color w:val="000000" w:themeColor="text1"/>
                <w14:textFill>
                  <w14:solidFill>
                    <w14:schemeClr w14:val="tx1"/>
                  </w14:solidFill>
                </w14:textFill>
              </w:rPr>
              <w:t>在有效期内，</w:t>
            </w:r>
            <w:r>
              <w:rPr>
                <w:rFonts w:hint="eastAsia" w:ascii="宋体" w:hAnsi="宋体" w:cs="宋体"/>
                <w:color w:val="000000" w:themeColor="text1"/>
                <w:lang w:val="en-US" w:eastAsia="zh-CN"/>
                <w14:textFill>
                  <w14:solidFill>
                    <w14:schemeClr w14:val="tx1"/>
                  </w14:solidFill>
                </w14:textFill>
              </w:rPr>
              <w:t>且</w:t>
            </w:r>
            <w:r>
              <w:rPr>
                <w:rFonts w:hint="eastAsia" w:ascii="宋体" w:hAnsi="宋体" w:cs="宋体"/>
                <w:color w:val="000000" w:themeColor="text1"/>
                <w14:textFill>
                  <w14:solidFill>
                    <w14:schemeClr w14:val="tx1"/>
                  </w14:solidFill>
                </w14:textFill>
              </w:rPr>
              <w:t>检测范围要包含《清单报价表》中涉及的检测对象和相应的检测参数，并提供相应佐证材料。</w:t>
            </w:r>
          </w:p>
        </w:tc>
        <w:tc>
          <w:tcPr>
            <w:tcW w:w="1134" w:type="dxa"/>
            <w:vAlign w:val="center"/>
          </w:tcPr>
          <w:p w14:paraId="06FD78D2">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666255ED">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详见（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）页</w:t>
            </w:r>
          </w:p>
          <w:p w14:paraId="533015D5">
            <w:pPr>
              <w:spacing w:line="300" w:lineRule="exact"/>
              <w:jc w:val="center"/>
              <w:rPr>
                <w:rFonts w:ascii="宋体" w:hAnsi="宋体"/>
                <w:color w:val="000000" w:themeColor="text1"/>
                <w:szCs w:val="21"/>
                <w14:textFill>
                  <w14:solidFill>
                    <w14:schemeClr w14:val="tx1"/>
                  </w14:solidFill>
                </w14:textFill>
              </w:rPr>
            </w:pPr>
          </w:p>
        </w:tc>
      </w:tr>
      <w:tr w14:paraId="77B8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21" w:type="dxa"/>
            <w:vAlign w:val="center"/>
          </w:tcPr>
          <w:p w14:paraId="7D12B00A">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850" w:type="dxa"/>
            <w:vAlign w:val="center"/>
          </w:tcPr>
          <w:p w14:paraId="377DB94D">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w:t>
            </w:r>
          </w:p>
          <w:p w14:paraId="3A009B10">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条件</w:t>
            </w:r>
          </w:p>
        </w:tc>
        <w:tc>
          <w:tcPr>
            <w:tcW w:w="5954" w:type="dxa"/>
          </w:tcPr>
          <w:p w14:paraId="2D51AC7D">
            <w:pPr>
              <w:spacing w:line="3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供应商须在广州市住房和城乡建设局建立企业诚信档案，外省检测机构须按规定向广东省建设行政管理部门备案，并提供证明材料。</w:t>
            </w:r>
          </w:p>
        </w:tc>
        <w:tc>
          <w:tcPr>
            <w:tcW w:w="1134" w:type="dxa"/>
            <w:vAlign w:val="center"/>
          </w:tcPr>
          <w:p w14:paraId="03CA9B8C">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6C5B4A92">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详见（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）页</w:t>
            </w:r>
          </w:p>
        </w:tc>
      </w:tr>
      <w:tr w14:paraId="1280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21" w:type="dxa"/>
            <w:vAlign w:val="center"/>
          </w:tcPr>
          <w:p w14:paraId="2F2DF342">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850" w:type="dxa"/>
            <w:vAlign w:val="center"/>
          </w:tcPr>
          <w:p w14:paraId="04E7C618">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人员及</w:t>
            </w:r>
          </w:p>
          <w:p w14:paraId="2E4F73CB">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设备</w:t>
            </w:r>
          </w:p>
        </w:tc>
        <w:tc>
          <w:tcPr>
            <w:tcW w:w="5954" w:type="dxa"/>
          </w:tcPr>
          <w:p w14:paraId="1DC53303">
            <w:pPr>
              <w:spacing w:line="3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供应商须根据本项目的检测内容及工期合理配备检测人员和设备，并提供人员组织构架和设备清单，项目负责人和检测人员须提供符合检测内容及相关法规要求的资质证书。</w:t>
            </w:r>
          </w:p>
        </w:tc>
        <w:tc>
          <w:tcPr>
            <w:tcW w:w="1134" w:type="dxa"/>
            <w:vAlign w:val="center"/>
          </w:tcPr>
          <w:p w14:paraId="077FD17E">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23E37E63">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详见（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）页</w:t>
            </w:r>
          </w:p>
        </w:tc>
      </w:tr>
      <w:tr w14:paraId="1E39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421" w:type="dxa"/>
            <w:vAlign w:val="center"/>
          </w:tcPr>
          <w:p w14:paraId="1CDBBA42">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850" w:type="dxa"/>
            <w:vAlign w:val="center"/>
          </w:tcPr>
          <w:p w14:paraId="2DBC3AB3">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业绩</w:t>
            </w:r>
          </w:p>
          <w:p w14:paraId="290726C2">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证明</w:t>
            </w:r>
          </w:p>
        </w:tc>
        <w:tc>
          <w:tcPr>
            <w:tcW w:w="5954" w:type="dxa"/>
            <w:vAlign w:val="center"/>
          </w:tcPr>
          <w:p w14:paraId="223C154E">
            <w:pPr>
              <w:spacing w:line="3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供应商需提供20</w:t>
            </w:r>
            <w:r>
              <w:rPr>
                <w:rFonts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年1月1日以来供应商含空气污染物检测的同类业绩证明材料，须提供检测服务合同和检验报告。</w:t>
            </w:r>
          </w:p>
        </w:tc>
        <w:tc>
          <w:tcPr>
            <w:tcW w:w="1134" w:type="dxa"/>
            <w:vAlign w:val="center"/>
          </w:tcPr>
          <w:p w14:paraId="137FF9DA">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160ECFCD">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详见（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）页</w:t>
            </w:r>
          </w:p>
        </w:tc>
      </w:tr>
      <w:tr w14:paraId="34CF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421" w:type="dxa"/>
            <w:vAlign w:val="center"/>
          </w:tcPr>
          <w:p w14:paraId="272A088B">
            <w:pPr>
              <w:spacing w:line="36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850" w:type="dxa"/>
            <w:vAlign w:val="center"/>
          </w:tcPr>
          <w:p w14:paraId="6E327B7D">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交货期</w:t>
            </w:r>
          </w:p>
        </w:tc>
        <w:tc>
          <w:tcPr>
            <w:tcW w:w="5954" w:type="dxa"/>
          </w:tcPr>
          <w:p w14:paraId="2062287E">
            <w:pPr>
              <w:spacing w:line="3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交货期：</w:t>
            </w:r>
          </w:p>
          <w:p w14:paraId="4607A7D8">
            <w:pPr>
              <w:spacing w:line="3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在现场满足检测条件后，①建筑材料检测3个日历天内出具初步检测结果，7个日历天内出具检测报告；②室内环境污染物检测3个日历天内出具该批次的检测报告，不得因检测工作滞后影响工程进度（检测单位须根据现场施工进度及时开展检测鉴定工作，并分批出具检测数据及成果文件）。</w:t>
            </w:r>
          </w:p>
        </w:tc>
        <w:tc>
          <w:tcPr>
            <w:tcW w:w="1134" w:type="dxa"/>
            <w:vAlign w:val="center"/>
          </w:tcPr>
          <w:p w14:paraId="55EF86F0">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1B7ABB5D">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549C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21" w:type="dxa"/>
            <w:vAlign w:val="center"/>
          </w:tcPr>
          <w:p w14:paraId="3D577B8C">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p>
        </w:tc>
        <w:tc>
          <w:tcPr>
            <w:tcW w:w="850" w:type="dxa"/>
            <w:vAlign w:val="center"/>
          </w:tcPr>
          <w:p w14:paraId="02A73555">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下浮率</w:t>
            </w:r>
          </w:p>
        </w:tc>
        <w:tc>
          <w:tcPr>
            <w:tcW w:w="5954" w:type="dxa"/>
          </w:tcPr>
          <w:p w14:paraId="49ADFE93">
            <w:pPr>
              <w:spacing w:line="3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供应商在《报价一览表》中填报的下浮率不得少于3</w:t>
            </w:r>
            <w:r>
              <w:rPr>
                <w:rFonts w:ascii="宋体" w:hAnsi="宋体" w:cs="宋体"/>
                <w:color w:val="000000" w:themeColor="text1"/>
                <w14:textFill>
                  <w14:solidFill>
                    <w14:schemeClr w14:val="tx1"/>
                  </w14:solidFill>
                </w14:textFill>
              </w:rPr>
              <w:t>0%</w:t>
            </w:r>
          </w:p>
        </w:tc>
        <w:tc>
          <w:tcPr>
            <w:tcW w:w="1134" w:type="dxa"/>
            <w:vAlign w:val="center"/>
          </w:tcPr>
          <w:p w14:paraId="0F48A722">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3B174F40">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7788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421" w:type="dxa"/>
            <w:vAlign w:val="center"/>
          </w:tcPr>
          <w:p w14:paraId="43A0C5AF">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p>
        </w:tc>
        <w:tc>
          <w:tcPr>
            <w:tcW w:w="850" w:type="dxa"/>
            <w:vAlign w:val="center"/>
          </w:tcPr>
          <w:p w14:paraId="17E9A465">
            <w:pPr>
              <w:spacing w:line="36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暂列金使用</w:t>
            </w:r>
          </w:p>
        </w:tc>
        <w:tc>
          <w:tcPr>
            <w:tcW w:w="5954" w:type="dxa"/>
          </w:tcPr>
          <w:p w14:paraId="58BB2BCF">
            <w:pPr>
              <w:spacing w:line="300" w:lineRule="exact"/>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《清单报价表》内的工程量增加或检测内容调整必须使用暂列金时，可由双方协商一致，并以书面形式确定，增加的总金额不得超过暂列金，若超过暂列金则按暂列金结算</w:t>
            </w:r>
          </w:p>
        </w:tc>
        <w:tc>
          <w:tcPr>
            <w:tcW w:w="1134" w:type="dxa"/>
            <w:vAlign w:val="center"/>
          </w:tcPr>
          <w:p w14:paraId="3614EE99">
            <w:pPr>
              <w:spacing w:line="360" w:lineRule="exact"/>
              <w:jc w:val="center"/>
              <w:rPr>
                <w:rFonts w:ascii="宋体" w:hAnsi="宋体"/>
                <w:color w:val="000000" w:themeColor="text1"/>
                <w:szCs w:val="21"/>
                <w14:textFill>
                  <w14:solidFill>
                    <w14:schemeClr w14:val="tx1"/>
                  </w14:solidFill>
                </w14:textFill>
              </w:rPr>
            </w:pPr>
          </w:p>
        </w:tc>
        <w:tc>
          <w:tcPr>
            <w:tcW w:w="1021" w:type="dxa"/>
            <w:vAlign w:val="center"/>
          </w:tcPr>
          <w:p w14:paraId="232774BB">
            <w:pPr>
              <w:spacing w:line="3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bl>
    <w:p w14:paraId="7F88CA6F">
      <w:pPr>
        <w:spacing w:line="3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说明：1.报价文件应达到询价文件的技术要求，供应商在“报价文件响应”栏中必须逐项响应技术要求，注明</w:t>
      </w:r>
      <w:r>
        <w:rPr>
          <w:rFonts w:hint="eastAsia" w:ascii="宋体" w:hAnsi="宋体"/>
          <w:b/>
          <w:color w:val="000000" w:themeColor="text1"/>
          <w:szCs w:val="21"/>
          <w14:textFill>
            <w14:solidFill>
              <w14:schemeClr w14:val="tx1"/>
            </w14:solidFill>
          </w14:textFill>
        </w:rPr>
        <w:t>“完全响应”</w:t>
      </w:r>
      <w:r>
        <w:rPr>
          <w:rFonts w:hint="eastAsia" w:ascii="宋体" w:hAnsi="宋体"/>
          <w:color w:val="000000" w:themeColor="text1"/>
          <w:szCs w:val="21"/>
          <w14:textFill>
            <w14:solidFill>
              <w14:schemeClr w14:val="tx1"/>
            </w14:solidFill>
          </w14:textFill>
        </w:rPr>
        <w:t>，如未填报完全响应，则报价无效</w:t>
      </w:r>
      <w:r>
        <w:rPr>
          <w:rFonts w:hint="eastAsia" w:ascii="宋体" w:hAnsi="宋体"/>
          <w:b/>
          <w:color w:val="000000" w:themeColor="text1"/>
          <w:szCs w:val="21"/>
          <w14:textFill>
            <w14:solidFill>
              <w14:schemeClr w14:val="tx1"/>
            </w14:solidFill>
          </w14:textFill>
        </w:rPr>
        <w:t>。</w:t>
      </w:r>
    </w:p>
    <w:p w14:paraId="2A650BA1">
      <w:pPr>
        <w:spacing w:line="300" w:lineRule="exact"/>
        <w:ind w:firstLine="630" w:firstLine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2.供应商认为有必要列示的其它指标可在表中列出。</w:t>
      </w:r>
    </w:p>
    <w:p w14:paraId="7AFEED12">
      <w:pPr>
        <w:pStyle w:val="13"/>
        <w:ind w:firstLine="240"/>
        <w:rPr>
          <w:color w:val="000000" w:themeColor="text1"/>
          <w14:textFill>
            <w14:solidFill>
              <w14:schemeClr w14:val="tx1"/>
            </w14:solidFill>
          </w14:textFill>
        </w:rPr>
      </w:pPr>
    </w:p>
    <w:p w14:paraId="7CC3DA55">
      <w:pPr>
        <w:pStyle w:val="13"/>
        <w:ind w:firstLine="240"/>
        <w:rPr>
          <w:color w:val="000000" w:themeColor="text1"/>
          <w14:textFill>
            <w14:solidFill>
              <w14:schemeClr w14:val="tx1"/>
            </w14:solidFill>
          </w14:textFill>
        </w:rPr>
      </w:pPr>
    </w:p>
    <w:p w14:paraId="4711688F">
      <w:pPr>
        <w:pStyle w:val="13"/>
        <w:ind w:firstLine="240"/>
        <w:rPr>
          <w:color w:val="000000" w:themeColor="text1"/>
          <w14:textFill>
            <w14:solidFill>
              <w14:schemeClr w14:val="tx1"/>
            </w14:solidFill>
          </w14:textFill>
        </w:rPr>
      </w:pPr>
    </w:p>
    <w:p w14:paraId="375954A1">
      <w:pPr>
        <w:tabs>
          <w:tab w:val="left" w:pos="905"/>
        </w:tabs>
        <w:autoSpaceDE w:val="0"/>
        <w:autoSpaceDN w:val="0"/>
        <w:adjustRightInd w:val="0"/>
        <w:spacing w:line="420" w:lineRule="exact"/>
        <w:ind w:right="1470"/>
        <w:jc w:val="righ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供应商（公章）：</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2C09AA31">
      <w:pPr>
        <w:tabs>
          <w:tab w:val="left" w:pos="905"/>
        </w:tabs>
        <w:autoSpaceDE w:val="0"/>
        <w:autoSpaceDN w:val="0"/>
        <w:adjustRightInd w:val="0"/>
        <w:spacing w:line="420" w:lineRule="exact"/>
        <w:ind w:right="240"/>
        <w:jc w:val="righ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法定代表人（或授权代表人）：</w:t>
      </w:r>
    </w:p>
    <w:p w14:paraId="3A921E68">
      <w:pPr>
        <w:tabs>
          <w:tab w:val="left" w:pos="905"/>
        </w:tabs>
        <w:autoSpaceDE w:val="0"/>
        <w:autoSpaceDN w:val="0"/>
        <w:adjustRightInd w:val="0"/>
        <w:spacing w:line="420" w:lineRule="exact"/>
        <w:jc w:val="cente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   期</w:t>
      </w: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年 </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月 </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日</w:t>
      </w:r>
    </w:p>
    <w:p w14:paraId="58D70B83">
      <w:pPr>
        <w:pStyle w:val="21"/>
        <w:spacing w:line="360" w:lineRule="auto"/>
        <w:jc w:val="center"/>
        <w:rPr>
          <w:rFonts w:hAnsi="宋体" w:cs="Courier New"/>
          <w:b/>
          <w:color w:val="000000" w:themeColor="text1"/>
          <w:kern w:val="0"/>
          <w:sz w:val="28"/>
          <w:szCs w:val="28"/>
          <w14:textFill>
            <w14:solidFill>
              <w14:schemeClr w14:val="tx1"/>
            </w14:solidFill>
          </w14:textFill>
        </w:rPr>
      </w:pPr>
    </w:p>
    <w:p w14:paraId="6B9044A8">
      <w:pPr>
        <w:pStyle w:val="21"/>
        <w:spacing w:line="360" w:lineRule="auto"/>
        <w:jc w:val="center"/>
        <w:rPr>
          <w:rFonts w:hint="eastAsia" w:hAnsi="宋体" w:cs="Courier New"/>
          <w:b/>
          <w:color w:val="000000" w:themeColor="text1"/>
          <w:kern w:val="0"/>
          <w:sz w:val="28"/>
          <w:szCs w:val="28"/>
          <w14:textFill>
            <w14:solidFill>
              <w14:schemeClr w14:val="tx1"/>
            </w14:solidFill>
          </w14:textFill>
        </w:rPr>
      </w:pPr>
    </w:p>
    <w:p w14:paraId="39ADA595">
      <w:pPr>
        <w:pStyle w:val="21"/>
        <w:spacing w:line="360" w:lineRule="auto"/>
        <w:jc w:val="center"/>
        <w:rPr>
          <w:rFonts w:hint="eastAsia" w:hAnsi="宋体" w:cs="Courier New"/>
          <w:b/>
          <w:color w:val="000000" w:themeColor="text1"/>
          <w:kern w:val="0"/>
          <w:sz w:val="28"/>
          <w:szCs w:val="28"/>
          <w14:textFill>
            <w14:solidFill>
              <w14:schemeClr w14:val="tx1"/>
            </w14:solidFill>
          </w14:textFill>
        </w:rPr>
      </w:pPr>
    </w:p>
    <w:p w14:paraId="2B070E76">
      <w:pPr>
        <w:pStyle w:val="21"/>
        <w:spacing w:line="360" w:lineRule="auto"/>
        <w:jc w:val="center"/>
        <w:rPr>
          <w:rFonts w:hint="eastAsia" w:hAnsi="宋体" w:cs="Courier New"/>
          <w:b/>
          <w:color w:val="000000" w:themeColor="text1"/>
          <w:kern w:val="0"/>
          <w:sz w:val="28"/>
          <w:szCs w:val="28"/>
          <w14:textFill>
            <w14:solidFill>
              <w14:schemeClr w14:val="tx1"/>
            </w14:solidFill>
          </w14:textFill>
        </w:rPr>
      </w:pPr>
    </w:p>
    <w:p w14:paraId="2E05D944">
      <w:pPr>
        <w:pStyle w:val="21"/>
        <w:spacing w:line="360" w:lineRule="auto"/>
        <w:jc w:val="center"/>
        <w:rPr>
          <w:rFonts w:hAnsi="宋体" w:cs="Courier New"/>
          <w:b/>
          <w:color w:val="000000" w:themeColor="text1"/>
          <w:kern w:val="0"/>
          <w:sz w:val="28"/>
          <w:szCs w:val="28"/>
          <w14:textFill>
            <w14:solidFill>
              <w14:schemeClr w14:val="tx1"/>
            </w14:solidFill>
          </w14:textFill>
        </w:rPr>
      </w:pPr>
      <w:r>
        <w:rPr>
          <w:rFonts w:hint="eastAsia" w:hAnsi="宋体" w:cs="Courier New"/>
          <w:b/>
          <w:color w:val="000000" w:themeColor="text1"/>
          <w:kern w:val="0"/>
          <w:sz w:val="28"/>
          <w:szCs w:val="28"/>
          <w14:textFill>
            <w14:solidFill>
              <w14:schemeClr w14:val="tx1"/>
            </w14:solidFill>
          </w14:textFill>
        </w:rPr>
        <w:t>格式4  法定代表人身份证明书</w:t>
      </w:r>
    </w:p>
    <w:p w14:paraId="3475BED2">
      <w:pPr>
        <w:pStyle w:val="4"/>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广州大学：</w:t>
      </w:r>
    </w:p>
    <w:p w14:paraId="5726E4F5">
      <w:pPr>
        <w:pStyle w:val="4"/>
        <w:spacing w:line="360" w:lineRule="auto"/>
        <w:ind w:firstLine="240" w:firstLineChars="100"/>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同志，现任我单位</w:t>
      </w:r>
      <w:r>
        <w:rPr>
          <w:rFonts w:hint="eastAsia" w:ascii="宋体" w:hAnsi="宋体"/>
          <w:color w:val="000000" w:themeColor="text1"/>
          <w:sz w:val="24"/>
          <w:szCs w:val="21"/>
          <w:u w:val="single"/>
          <w14:textFill>
            <w14:solidFill>
              <w14:schemeClr w14:val="tx1"/>
            </w14:solidFill>
          </w14:textFill>
        </w:rPr>
        <w:t xml:space="preserve"> </w:t>
      </w:r>
      <w:r>
        <w:rPr>
          <w:rFonts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职务，为法定代表人，特此证明。</w:t>
      </w:r>
    </w:p>
    <w:p w14:paraId="0876BFCE">
      <w:pPr>
        <w:pStyle w:val="4"/>
        <w:spacing w:line="360" w:lineRule="auto"/>
        <w:ind w:firstLine="480"/>
        <w:rPr>
          <w:rFonts w:ascii="宋体" w:hAnsi="宋体"/>
          <w:color w:val="000000" w:themeColor="text1"/>
          <w:sz w:val="24"/>
          <w:szCs w:val="21"/>
          <w14:textFill>
            <w14:solidFill>
              <w14:schemeClr w14:val="tx1"/>
            </w14:solidFill>
          </w14:textFill>
        </w:rPr>
      </w:pPr>
    </w:p>
    <w:p w14:paraId="1A4BC8A1">
      <w:pPr>
        <w:pStyle w:val="4"/>
        <w:spacing w:line="360" w:lineRule="auto"/>
        <w:ind w:firstLine="5040" w:firstLineChars="210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单位：（公章）</w:t>
      </w:r>
    </w:p>
    <w:p w14:paraId="4C77FE69">
      <w:pPr>
        <w:pStyle w:val="4"/>
        <w:spacing w:line="360" w:lineRule="auto"/>
        <w:ind w:firstLine="5040" w:firstLineChars="210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日期：</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1A4ADB9C">
      <w:pPr>
        <w:pStyle w:val="4"/>
        <w:spacing w:line="360" w:lineRule="auto"/>
        <w:ind w:firstLine="480"/>
        <w:rPr>
          <w:rFonts w:ascii="宋体" w:hAnsi="宋体"/>
          <w:color w:val="000000" w:themeColor="text1"/>
          <w:sz w:val="24"/>
          <w:szCs w:val="21"/>
          <w14:textFill>
            <w14:solidFill>
              <w14:schemeClr w14:val="tx1"/>
            </w14:solidFill>
          </w14:textFill>
        </w:rPr>
      </w:pPr>
    </w:p>
    <w:p w14:paraId="48FAE638">
      <w:pPr>
        <w:pStyle w:val="4"/>
        <w:spacing w:line="360" w:lineRule="auto"/>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附：</w:t>
      </w:r>
    </w:p>
    <w:p w14:paraId="0C8CAE0E">
      <w:pPr>
        <w:pStyle w:val="4"/>
        <w:spacing w:line="360" w:lineRule="auto"/>
        <w:ind w:firstLine="480"/>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代表人性别：   年龄：    身份证号码：</w:t>
      </w:r>
    </w:p>
    <w:p w14:paraId="3B45E6CE">
      <w:pPr>
        <w:pStyle w:val="4"/>
        <w:spacing w:line="360" w:lineRule="auto"/>
        <w:ind w:firstLine="480"/>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联系电话：</w:t>
      </w:r>
    </w:p>
    <w:p w14:paraId="2DB72A23">
      <w:pPr>
        <w:pStyle w:val="4"/>
        <w:spacing w:line="360" w:lineRule="auto"/>
        <w:ind w:firstLine="480"/>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营业执照号码：            经济性质：</w:t>
      </w:r>
    </w:p>
    <w:p w14:paraId="3EE85D20">
      <w:pPr>
        <w:pStyle w:val="4"/>
        <w:spacing w:line="360" w:lineRule="auto"/>
        <w:ind w:firstLine="480"/>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主营（产）：</w:t>
      </w:r>
    </w:p>
    <w:p w14:paraId="1AD412C6">
      <w:pPr>
        <w:pStyle w:val="4"/>
        <w:spacing w:line="360" w:lineRule="auto"/>
        <w:ind w:firstLine="480"/>
        <w:rPr>
          <w:rFonts w:ascii="宋体" w:hAnsi="宋体"/>
          <w:color w:val="000000" w:themeColor="text1"/>
          <w:sz w:val="24"/>
          <w:szCs w:val="21"/>
          <w:u w:val="single"/>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兼营（产）：</w:t>
      </w:r>
    </w:p>
    <w:p w14:paraId="7AEB7A08">
      <w:pPr>
        <w:pStyle w:val="4"/>
        <w:spacing w:line="360" w:lineRule="auto"/>
        <w:ind w:firstLine="48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说明：1、法定代表人为企事业单位、国家机关、社会团体的主要行政负责人。</w:t>
      </w:r>
    </w:p>
    <w:p w14:paraId="2AE8526E">
      <w:pPr>
        <w:pStyle w:val="4"/>
        <w:spacing w:line="360" w:lineRule="auto"/>
        <w:ind w:firstLine="1200" w:firstLineChars="500"/>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2、内容必须填写真实、清楚、涂改无效，不得转让、买卖。</w:t>
      </w:r>
    </w:p>
    <w:p w14:paraId="1768009A">
      <w:pPr>
        <w:pStyle w:val="12"/>
        <w:spacing w:line="300" w:lineRule="auto"/>
        <w:rPr>
          <w:rFonts w:cs="Arial"/>
          <w:bCs/>
          <w:color w:val="000000" w:themeColor="text1"/>
          <w14:textFill>
            <w14:solidFill>
              <w14:schemeClr w14:val="tx1"/>
            </w14:solidFill>
          </w14:textFill>
        </w:rPr>
      </w:pPr>
      <w:r>
        <w:rPr>
          <w:color w:val="000000" w:themeColor="text1"/>
          <w:szCs w:val="2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176530</wp:posOffset>
                </wp:positionH>
                <wp:positionV relativeFrom="paragraph">
                  <wp:posOffset>10160</wp:posOffset>
                </wp:positionV>
                <wp:extent cx="5263515" cy="2803525"/>
                <wp:effectExtent l="0" t="0" r="13335" b="15875"/>
                <wp:wrapNone/>
                <wp:docPr id="6" name="流程图: 可选过程 6"/>
                <wp:cNvGraphicFramePr/>
                <a:graphic xmlns:a="http://schemas.openxmlformats.org/drawingml/2006/main">
                  <a:graphicData uri="http://schemas.microsoft.com/office/word/2010/wordprocessingShape">
                    <wps:wsp>
                      <wps:cNvSpPr/>
                      <wps:spPr>
                        <a:xfrm>
                          <a:off x="0" y="0"/>
                          <a:ext cx="5263515" cy="2803585"/>
                        </a:xfrm>
                        <a:prstGeom prst="flowChartAlternateProcess">
                          <a:avLst/>
                        </a:prstGeom>
                        <a:solidFill>
                          <a:srgbClr val="FFFFFF"/>
                        </a:solidFill>
                        <a:ln w="9525" cap="flat" cmpd="sng">
                          <a:solidFill>
                            <a:srgbClr val="000000"/>
                          </a:solidFill>
                          <a:prstDash val="dash"/>
                          <a:miter/>
                          <a:headEnd type="none" w="med" len="med"/>
                          <a:tailEnd type="none" w="med" len="med"/>
                        </a:ln>
                      </wps:spPr>
                      <wps:txbx>
                        <w:txbxContent>
                          <w:p w14:paraId="2BBBB215">
                            <w:pPr>
                              <w:rPr>
                                <w:b/>
                                <w:sz w:val="22"/>
                              </w:rPr>
                            </w:pPr>
                            <w:r>
                              <w:rPr>
                                <w:rFonts w:hint="eastAsia"/>
                                <w:b/>
                                <w:sz w:val="22"/>
                              </w:rPr>
                              <w:t>提示：请将法定代表人身份证复印件（正反面）粘贴在此处，并加盖公章。</w:t>
                            </w:r>
                          </w:p>
                          <w:p w14:paraId="41D23018">
                            <w:pPr>
                              <w:rPr>
                                <w:b/>
                                <w:sz w:val="22"/>
                              </w:rPr>
                            </w:pPr>
                          </w:p>
                        </w:txbxContent>
                      </wps:txbx>
                      <wps:bodyPr wrap="square" upright="1">
                        <a:noAutofit/>
                      </wps:bodyPr>
                    </wps:wsp>
                  </a:graphicData>
                </a:graphic>
              </wp:anchor>
            </w:drawing>
          </mc:Choice>
          <mc:Fallback>
            <w:pict>
              <v:shape id="_x0000_s1026" o:spid="_x0000_s1026" o:spt="176" type="#_x0000_t176" style="position:absolute;left:0pt;margin-left:13.9pt;margin-top:0.8pt;height:220.75pt;width:414.45pt;z-index:251660288;mso-width-relative:page;mso-height-relative:page;" fillcolor="#FFFFFF" filled="t" stroked="t" coordsize="21600,21600" o:gfxdata="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&#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JrEkFbZAAAACAEAAA8AAAAAAAAAAQAgAAAAIgAAAGRy&#10;cy9kb3ducmV2LnhtbFBLAQIUABQAAAAIAIdO4kCj1NGnPQIAAHcEAAAOAAAAAAAAAAEAIAAAACgB&#10;AABkcnMvZTJvRG9jLnhtbFBLBQYAAAAABgAGAFkBAADXBQAAAAA=&#10;">
                <v:fill on="t" focussize="0,0"/>
                <v:stroke color="#000000" joinstyle="miter" dashstyle="dash"/>
                <v:imagedata o:title=""/>
                <o:lock v:ext="edit" aspectratio="f"/>
                <v:textbox>
                  <w:txbxContent>
                    <w:p w14:paraId="2BBBB215">
                      <w:pPr>
                        <w:rPr>
                          <w:b/>
                          <w:sz w:val="22"/>
                        </w:rPr>
                      </w:pPr>
                      <w:r>
                        <w:rPr>
                          <w:rFonts w:hint="eastAsia"/>
                          <w:b/>
                          <w:sz w:val="22"/>
                        </w:rPr>
                        <w:t>提示：请将法定代表人身份证复印件（正反面）粘贴在此处，并加盖公章。</w:t>
                      </w:r>
                    </w:p>
                    <w:p w14:paraId="41D23018">
                      <w:pPr>
                        <w:rPr>
                          <w:b/>
                          <w:sz w:val="22"/>
                        </w:rPr>
                      </w:pPr>
                    </w:p>
                  </w:txbxContent>
                </v:textbox>
              </v:shape>
            </w:pict>
          </mc:Fallback>
        </mc:AlternateContent>
      </w:r>
    </w:p>
    <w:p w14:paraId="628B0D0A">
      <w:pPr>
        <w:pStyle w:val="12"/>
        <w:spacing w:line="300" w:lineRule="auto"/>
        <w:rPr>
          <w:rFonts w:cs="Arial"/>
          <w:bCs/>
          <w:color w:val="000000" w:themeColor="text1"/>
          <w14:textFill>
            <w14:solidFill>
              <w14:schemeClr w14:val="tx1"/>
            </w14:solidFill>
          </w14:textFill>
        </w:rPr>
      </w:pPr>
    </w:p>
    <w:p w14:paraId="49E300ED">
      <w:pPr>
        <w:pStyle w:val="12"/>
        <w:spacing w:line="300" w:lineRule="auto"/>
        <w:rPr>
          <w:rFonts w:cs="Arial"/>
          <w:bCs/>
          <w:color w:val="000000" w:themeColor="text1"/>
          <w14:textFill>
            <w14:solidFill>
              <w14:schemeClr w14:val="tx1"/>
            </w14:solidFill>
          </w14:textFill>
        </w:rPr>
      </w:pPr>
    </w:p>
    <w:p w14:paraId="3E710EB6">
      <w:pPr>
        <w:pStyle w:val="7"/>
        <w:pageBreakBefore/>
        <w:jc w:val="center"/>
        <w:rPr>
          <w:rFonts w:hAnsi="宋体" w:cs="Arial"/>
          <w:bCs/>
          <w:color w:val="000000" w:themeColor="text1"/>
          <w:sz w:val="24"/>
          <w:szCs w:val="24"/>
          <w14:textFill>
            <w14:solidFill>
              <w14:schemeClr w14:val="tx1"/>
            </w14:solidFill>
          </w14:textFill>
        </w:rPr>
      </w:pPr>
      <w:r>
        <w:rPr>
          <w:rFonts w:hint="eastAsia" w:hAnsi="宋体"/>
          <w:b/>
          <w:color w:val="000000" w:themeColor="text1"/>
          <w:sz w:val="28"/>
          <w:szCs w:val="28"/>
          <w:lang w:val="en-GB"/>
          <w14:textFill>
            <w14:solidFill>
              <w14:schemeClr w14:val="tx1"/>
            </w14:solidFill>
          </w14:textFill>
        </w:rPr>
        <w:t>格式5</w:t>
      </w:r>
      <w:r>
        <w:rPr>
          <w:rFonts w:hint="eastAsia" w:hAnsi="宋体"/>
          <w:b/>
          <w:color w:val="000000" w:themeColor="text1"/>
          <w:sz w:val="28"/>
          <w:szCs w:val="28"/>
          <w14:textFill>
            <w14:solidFill>
              <w14:schemeClr w14:val="tx1"/>
            </w14:solidFill>
          </w14:textFill>
        </w:rPr>
        <w:t>授权委托证明书</w:t>
      </w:r>
    </w:p>
    <w:p w14:paraId="5EE6E0DE">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广州大学：</w:t>
      </w:r>
    </w:p>
    <w:p w14:paraId="1A1361ED">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（报价单位全称）法定代表人（姓名）兹授权（授权代表姓名）为授权代表，参加贵方组织的项目询价活动。</w:t>
      </w:r>
    </w:p>
    <w:p w14:paraId="5257D71C">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（授权代表姓名）以我单位的名义并代表我单位签署报价书和所有报价文件，进行谈判、签署合同和全权处理招报价活动中的一切事宜，其在该项目招报价活动中的一切行为对我单位具有法律约束力。</w:t>
      </w:r>
    </w:p>
    <w:p w14:paraId="07EB143F">
      <w:pPr>
        <w:spacing w:line="360" w:lineRule="auto"/>
        <w:ind w:right="16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有效期限：至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p>
    <w:p w14:paraId="1D0A3DCA">
      <w:pPr>
        <w:spacing w:line="360" w:lineRule="auto"/>
        <w:ind w:right="216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供应商名称（公章）：</w:t>
      </w:r>
    </w:p>
    <w:p w14:paraId="724DDF57">
      <w:pPr>
        <w:pStyle w:val="8"/>
        <w:spacing w:line="360" w:lineRule="auto"/>
        <w:ind w:right="216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法定代表人（签字）：</w:t>
      </w:r>
    </w:p>
    <w:p w14:paraId="651FADEF">
      <w:pPr>
        <w:spacing w:line="360" w:lineRule="auto"/>
        <w:ind w:right="19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21C9B6E1">
      <w:pPr>
        <w:pStyle w:val="8"/>
        <w:spacing w:line="360" w:lineRule="auto"/>
        <w:ind w:right="240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授权代表（签字）：</w:t>
      </w:r>
    </w:p>
    <w:p w14:paraId="4C7B5A31">
      <w:pPr>
        <w:spacing w:line="360" w:lineRule="auto"/>
        <w:ind w:right="19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78DBF0A8">
      <w:pPr>
        <w:pStyle w:val="7"/>
        <w:wordWrap w:val="0"/>
        <w:spacing w:line="360" w:lineRule="auto"/>
        <w:ind w:left="3400" w:leftChars="1619"/>
        <w:jc w:val="right"/>
        <w:rPr>
          <w:rFonts w:hAnsi="宋体" w:cs="Arial"/>
          <w:color w:val="000000" w:themeColor="text1"/>
          <w:sz w:val="24"/>
          <w:szCs w:val="24"/>
          <w14:textFill>
            <w14:solidFill>
              <w14:schemeClr w14:val="tx1"/>
            </w14:solidFill>
          </w14:textFill>
        </w:rPr>
      </w:pPr>
    </w:p>
    <w:p w14:paraId="57FBE2AC">
      <w:pPr>
        <w:pStyle w:val="7"/>
        <w:spacing w:line="360" w:lineRule="auto"/>
        <w:ind w:right="960"/>
        <w:rPr>
          <w:rFonts w:hAnsi="宋体"/>
          <w:color w:val="000000" w:themeColor="text1"/>
          <w:sz w:val="24"/>
          <w:szCs w:val="24"/>
          <w14:textFill>
            <w14:solidFill>
              <w14:schemeClr w14:val="tx1"/>
            </w14:solidFill>
          </w14:textFill>
        </w:rPr>
      </w:pPr>
      <w:r>
        <w:rPr>
          <w:rFonts w:hint="eastAsia" w:hAnsi="宋体" w:cs="仿宋_GB2312"/>
          <w:color w:val="000000" w:themeColor="text1"/>
          <w:sz w:val="24"/>
          <w:szCs w:val="24"/>
          <w:lang w:val="zh-CN"/>
          <w14:textFill>
            <w14:solidFill>
              <w14:schemeClr w14:val="tx1"/>
            </w14:solidFill>
          </w14:textFill>
        </w:rPr>
        <w:t>说明：</w:t>
      </w:r>
    </w:p>
    <w:p w14:paraId="6F9455EC">
      <w:pPr>
        <w:pStyle w:val="7"/>
        <w:widowControl/>
        <w:numPr>
          <w:ilvl w:val="0"/>
          <w:numId w:val="4"/>
        </w:numPr>
        <w:tabs>
          <w:tab w:val="left" w:pos="360"/>
          <w:tab w:val="clear" w:pos="1264"/>
        </w:tabs>
        <w:spacing w:line="460" w:lineRule="exact"/>
        <w:ind w:hanging="1264"/>
        <w:rPr>
          <w:rFonts w:hAnsi="宋体" w:cs="仿宋_GB2312"/>
          <w:color w:val="000000" w:themeColor="text1"/>
          <w:sz w:val="24"/>
          <w:szCs w:val="24"/>
          <w:lang w:val="zh-CN"/>
          <w14:textFill>
            <w14:solidFill>
              <w14:schemeClr w14:val="tx1"/>
            </w14:solidFill>
          </w14:textFill>
        </w:rPr>
      </w:pPr>
      <w:r>
        <w:rPr>
          <w:rFonts w:hAnsi="宋体" w:cs="仿宋_GB2312"/>
          <w:color w:val="000000" w:themeColor="text1"/>
          <w:sz w:val="24"/>
          <w:szCs w:val="24"/>
          <w:lang w:val="zh-CN"/>
          <w14:textFill>
            <w14:solidFill>
              <w14:schemeClr w14:val="tx1"/>
            </w14:solidFill>
          </w14:textFill>
        </w:rPr>
        <w:t>法定代表人亲自签署</w:t>
      </w:r>
      <w:r>
        <w:rPr>
          <w:rFonts w:hint="eastAsia" w:hAnsi="宋体" w:cs="仿宋_GB2312"/>
          <w:color w:val="000000" w:themeColor="text1"/>
          <w:sz w:val="24"/>
          <w:szCs w:val="24"/>
          <w:lang w:val="zh-CN"/>
          <w14:textFill>
            <w14:solidFill>
              <w14:schemeClr w14:val="tx1"/>
            </w14:solidFill>
          </w14:textFill>
        </w:rPr>
        <w:t>“</w:t>
      </w:r>
      <w:r>
        <w:rPr>
          <w:rFonts w:hAnsi="宋体" w:cs="仿宋_GB2312"/>
          <w:color w:val="000000" w:themeColor="text1"/>
          <w:sz w:val="24"/>
          <w:szCs w:val="24"/>
          <w:lang w:val="zh-CN"/>
          <w14:textFill>
            <w14:solidFill>
              <w14:schemeClr w14:val="tx1"/>
            </w14:solidFill>
          </w14:textFill>
        </w:rPr>
        <w:t>报价函</w:t>
      </w:r>
      <w:r>
        <w:rPr>
          <w:rFonts w:hint="eastAsia" w:hAnsi="宋体" w:cs="仿宋_GB2312"/>
          <w:color w:val="000000" w:themeColor="text1"/>
          <w:sz w:val="24"/>
          <w:szCs w:val="24"/>
          <w:lang w:val="zh-CN"/>
          <w14:textFill>
            <w14:solidFill>
              <w14:schemeClr w14:val="tx1"/>
            </w14:solidFill>
          </w14:textFill>
        </w:rPr>
        <w:t>”</w:t>
      </w:r>
      <w:r>
        <w:rPr>
          <w:rFonts w:hAnsi="宋体" w:cs="仿宋_GB2312"/>
          <w:color w:val="000000" w:themeColor="text1"/>
          <w:sz w:val="24"/>
          <w:szCs w:val="24"/>
          <w:lang w:val="zh-CN"/>
          <w14:textFill>
            <w14:solidFill>
              <w14:schemeClr w14:val="tx1"/>
            </w14:solidFill>
          </w14:textFill>
        </w:rPr>
        <w:t>的，则无需提交本表。</w:t>
      </w:r>
    </w:p>
    <w:p w14:paraId="2A89C023">
      <w:pPr>
        <w:pStyle w:val="7"/>
        <w:widowControl/>
        <w:numPr>
          <w:ilvl w:val="0"/>
          <w:numId w:val="4"/>
        </w:numPr>
        <w:tabs>
          <w:tab w:val="left" w:pos="360"/>
          <w:tab w:val="clear" w:pos="1264"/>
        </w:tabs>
        <w:spacing w:line="460" w:lineRule="exact"/>
        <w:ind w:left="360" w:hanging="360"/>
        <w:rPr>
          <w:rFonts w:hAnsi="宋体" w:cs="仿宋_GB2312"/>
          <w:color w:val="000000" w:themeColor="text1"/>
          <w:sz w:val="24"/>
          <w:szCs w:val="24"/>
          <w:lang w:val="zh-CN"/>
          <w14:textFill>
            <w14:solidFill>
              <w14:schemeClr w14:val="tx1"/>
            </w14:solidFill>
          </w14:textFill>
        </w:rPr>
      </w:pPr>
      <w:r>
        <w:rPr>
          <w:rFonts w:hint="eastAsia" w:hAnsi="宋体" w:cs="仿宋_GB2312"/>
          <w:color w:val="000000" w:themeColor="text1"/>
          <w:sz w:val="24"/>
          <w:szCs w:val="24"/>
          <w:lang w:val="zh-CN"/>
          <w14:textFill>
            <w14:solidFill>
              <w14:schemeClr w14:val="tx1"/>
            </w14:solidFill>
          </w14:textFill>
        </w:rPr>
        <w:t>“</w:t>
      </w:r>
      <w:r>
        <w:rPr>
          <w:rFonts w:hAnsi="宋体" w:cs="仿宋_GB2312"/>
          <w:color w:val="000000" w:themeColor="text1"/>
          <w:sz w:val="24"/>
          <w:szCs w:val="24"/>
          <w:lang w:val="zh-CN"/>
          <w14:textFill>
            <w14:solidFill>
              <w14:schemeClr w14:val="tx1"/>
            </w14:solidFill>
          </w14:textFill>
        </w:rPr>
        <w:t>报价函</w:t>
      </w:r>
      <w:r>
        <w:rPr>
          <w:rFonts w:hint="eastAsia" w:hAnsi="宋体" w:cs="仿宋_GB2312"/>
          <w:color w:val="000000" w:themeColor="text1"/>
          <w:sz w:val="24"/>
          <w:szCs w:val="24"/>
          <w:lang w:val="zh-CN"/>
          <w14:textFill>
            <w14:solidFill>
              <w14:schemeClr w14:val="tx1"/>
            </w14:solidFill>
          </w14:textFill>
        </w:rPr>
        <w:t>”</w:t>
      </w:r>
      <w:r>
        <w:rPr>
          <w:rFonts w:hAnsi="宋体" w:cs="仿宋_GB2312"/>
          <w:color w:val="000000" w:themeColor="text1"/>
          <w:sz w:val="24"/>
          <w:szCs w:val="24"/>
          <w:lang w:val="zh-CN"/>
          <w14:textFill>
            <w14:solidFill>
              <w14:schemeClr w14:val="tx1"/>
            </w14:solidFill>
          </w14:textFill>
        </w:rPr>
        <w:t>由委托代理人签署的，</w:t>
      </w:r>
      <w:r>
        <w:rPr>
          <w:rFonts w:hint="eastAsia" w:hAnsi="宋体" w:cs="仿宋_GB2312"/>
          <w:color w:val="000000" w:themeColor="text1"/>
          <w:sz w:val="24"/>
          <w:lang w:val="zh-CN"/>
          <w14:textFill>
            <w14:solidFill>
              <w14:schemeClr w14:val="tx1"/>
            </w14:solidFill>
          </w14:textFill>
        </w:rPr>
        <w:t>须提交本授权委托证明书（要有单位公章、法定代表人的亲笔签字或盖章，缺一不可）</w:t>
      </w:r>
      <w:r>
        <w:rPr>
          <w:rFonts w:hAnsi="宋体" w:cs="仿宋_GB2312"/>
          <w:color w:val="000000" w:themeColor="text1"/>
          <w:sz w:val="24"/>
          <w:szCs w:val="24"/>
          <w:lang w:val="zh-CN"/>
          <w14:textFill>
            <w14:solidFill>
              <w14:schemeClr w14:val="tx1"/>
            </w14:solidFill>
          </w14:textFill>
        </w:rPr>
        <w:t>。</w:t>
      </w:r>
    </w:p>
    <w:p w14:paraId="273B0F23">
      <w:pPr>
        <w:pStyle w:val="7"/>
        <w:widowControl/>
        <w:numPr>
          <w:ilvl w:val="0"/>
          <w:numId w:val="4"/>
        </w:numPr>
        <w:tabs>
          <w:tab w:val="left" w:pos="142"/>
          <w:tab w:val="clear" w:pos="1264"/>
        </w:tabs>
        <w:spacing w:line="420" w:lineRule="exact"/>
        <w:ind w:left="-4" w:leftChars="-2" w:right="84" w:rightChars="40" w:firstLine="2"/>
        <w:rPr>
          <w:rFonts w:hAnsi="宋体" w:cs="Arial"/>
          <w:bCs/>
          <w:color w:val="000000" w:themeColor="text1"/>
          <w:sz w:val="24"/>
          <w:szCs w:val="24"/>
          <w14:textFill>
            <w14:solidFill>
              <w14:schemeClr w14:val="tx1"/>
            </w14:solidFill>
          </w14:textFill>
        </w:rPr>
      </w:pPr>
      <w:r>
        <w:rPr>
          <w:rFonts w:hAnsi="宋体" w:cs="仿宋_GB2312"/>
          <w:color w:val="000000" w:themeColor="text1"/>
          <w:sz w:val="24"/>
          <w:szCs w:val="24"/>
          <w:lang w:val="zh-CN"/>
          <w14:textFill>
            <w14:solidFill>
              <w14:schemeClr w14:val="tx1"/>
            </w14:solidFill>
          </w14:textFill>
        </w:rPr>
        <w:t>非法人报价的，负责人指《营业执照》上载明的负责人</w:t>
      </w:r>
      <w:r>
        <w:rPr>
          <w:rFonts w:hint="eastAsia" w:hAnsi="宋体" w:cs="仿宋_GB2312"/>
          <w:color w:val="000000" w:themeColor="text1"/>
          <w:sz w:val="24"/>
          <w:szCs w:val="24"/>
          <w:lang w:val="zh-CN"/>
          <w14:textFill>
            <w14:solidFill>
              <w14:schemeClr w14:val="tx1"/>
            </w14:solidFill>
          </w14:textFill>
        </w:rPr>
        <w:t>。</w:t>
      </w:r>
    </w:p>
    <w:p w14:paraId="259D2B14">
      <w:pPr>
        <w:rPr>
          <w:color w:val="000000" w:themeColor="text1"/>
          <w14:textFill>
            <w14:solidFill>
              <w14:schemeClr w14:val="tx1"/>
            </w14:solidFill>
          </w14:textFill>
        </w:rPr>
      </w:pPr>
      <w:r>
        <w:rPr>
          <w:rFonts w:hAnsi="宋体" w:cs="Arial"/>
          <w:color w:val="000000" w:themeColor="text1"/>
          <w:sz w:val="24"/>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140970</wp:posOffset>
                </wp:positionV>
                <wp:extent cx="5240655" cy="2988945"/>
                <wp:effectExtent l="0" t="0" r="17145" b="21590"/>
                <wp:wrapNone/>
                <wp:docPr id="7" name="流程图: 可选过程 7"/>
                <wp:cNvGraphicFramePr/>
                <a:graphic xmlns:a="http://schemas.openxmlformats.org/drawingml/2006/main">
                  <a:graphicData uri="http://schemas.microsoft.com/office/word/2010/wordprocessingShape">
                    <wps:wsp>
                      <wps:cNvSpPr/>
                      <wps:spPr>
                        <a:xfrm>
                          <a:off x="0" y="0"/>
                          <a:ext cx="5240740" cy="2988859"/>
                        </a:xfrm>
                        <a:prstGeom prst="flowChartAlternateProcess">
                          <a:avLst/>
                        </a:prstGeom>
                        <a:solidFill>
                          <a:srgbClr val="FFFFFF"/>
                        </a:solidFill>
                        <a:ln w="9525" cap="flat" cmpd="sng">
                          <a:solidFill>
                            <a:srgbClr val="000000"/>
                          </a:solidFill>
                          <a:prstDash val="dash"/>
                          <a:miter/>
                          <a:headEnd type="none" w="med" len="med"/>
                          <a:tailEnd type="none" w="med" len="med"/>
                        </a:ln>
                      </wps:spPr>
                      <wps:txbx>
                        <w:txbxContent>
                          <w:p w14:paraId="3071B995">
                            <w:pPr>
                              <w:rPr>
                                <w:b/>
                                <w:sz w:val="22"/>
                              </w:rPr>
                            </w:pPr>
                            <w:r>
                              <w:rPr>
                                <w:rFonts w:hint="eastAsia"/>
                                <w:b/>
                                <w:sz w:val="22"/>
                              </w:rPr>
                              <w:t>提示：请将授权代表身份证复印件（正反面）粘贴在此处，并加盖公章。</w:t>
                            </w:r>
                          </w:p>
                          <w:p w14:paraId="131F6656">
                            <w:pPr>
                              <w:rPr>
                                <w:b/>
                                <w:sz w:val="22"/>
                              </w:rPr>
                            </w:pPr>
                          </w:p>
                        </w:txbxContent>
                      </wps:txbx>
                      <wps:bodyPr wrap="square" upright="1">
                        <a:noAutofit/>
                      </wps:bodyPr>
                    </wps:wsp>
                  </a:graphicData>
                </a:graphic>
              </wp:anchor>
            </w:drawing>
          </mc:Choice>
          <mc:Fallback>
            <w:pict>
              <v:shape id="_x0000_s1026" o:spid="_x0000_s1026" o:spt="176" type="#_x0000_t176" style="position:absolute;left:0pt;margin-top:11.1pt;height:235.35pt;width:412.65pt;mso-position-horizontal:right;mso-position-horizontal-relative:margin;z-index:251661312;mso-width-relative:page;mso-height-relative:page;" fillcolor="#FFFFFF" filled="t" stroked="t" coordsize="21600,21600" o:gfxdata="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&#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kimFb2QAAAAcBAAAPAAAAAAAAAAEAIAAAACIAAABk&#10;cnMvZG93bnJldi54bWxQSwECFAAUAAAACACHTuJAGaYNVj4CAAB3BAAADgAAAAAAAAABACAAAAAo&#10;AQAAZHJzL2Uyb0RvYy54bWxQSwUGAAAAAAYABgBZAQAA2AUAAAAA&#10;">
                <v:fill on="t" focussize="0,0"/>
                <v:stroke color="#000000" joinstyle="miter" dashstyle="dash"/>
                <v:imagedata o:title=""/>
                <o:lock v:ext="edit" aspectratio="f"/>
                <v:textbox>
                  <w:txbxContent>
                    <w:p w14:paraId="3071B995">
                      <w:pPr>
                        <w:rPr>
                          <w:b/>
                          <w:sz w:val="22"/>
                        </w:rPr>
                      </w:pPr>
                      <w:r>
                        <w:rPr>
                          <w:rFonts w:hint="eastAsia"/>
                          <w:b/>
                          <w:sz w:val="22"/>
                        </w:rPr>
                        <w:t>提示：请将授权代表身份证复印件（正反面）粘贴在此处，并加盖公章。</w:t>
                      </w:r>
                    </w:p>
                    <w:p w14:paraId="131F6656">
                      <w:pPr>
                        <w:rPr>
                          <w:b/>
                          <w:sz w:val="22"/>
                        </w:rPr>
                      </w:pPr>
                    </w:p>
                  </w:txbxContent>
                </v:textbox>
              </v:shape>
            </w:pict>
          </mc:Fallback>
        </mc:AlternateContent>
      </w:r>
    </w:p>
    <w:p w14:paraId="61F6A47D">
      <w:pPr>
        <w:rPr>
          <w:color w:val="000000" w:themeColor="text1"/>
          <w14:textFill>
            <w14:solidFill>
              <w14:schemeClr w14:val="tx1"/>
            </w14:solidFill>
          </w14:textFill>
        </w:rPr>
      </w:pPr>
    </w:p>
    <w:p w14:paraId="32EC733F">
      <w:pPr>
        <w:rPr>
          <w:color w:val="000000" w:themeColor="text1"/>
          <w14:textFill>
            <w14:solidFill>
              <w14:schemeClr w14:val="tx1"/>
            </w14:solidFill>
          </w14:textFill>
        </w:rPr>
      </w:pPr>
    </w:p>
    <w:p w14:paraId="61582237">
      <w:pPr>
        <w:rPr>
          <w:color w:val="000000" w:themeColor="text1"/>
          <w14:textFill>
            <w14:solidFill>
              <w14:schemeClr w14:val="tx1"/>
            </w14:solidFill>
          </w14:textFill>
        </w:rPr>
      </w:pPr>
    </w:p>
    <w:p w14:paraId="14921BA6">
      <w:pPr>
        <w:rPr>
          <w:color w:val="000000" w:themeColor="text1"/>
          <w14:textFill>
            <w14:solidFill>
              <w14:schemeClr w14:val="tx1"/>
            </w14:solidFill>
          </w14:textFill>
        </w:rPr>
      </w:pPr>
    </w:p>
    <w:p w14:paraId="35C2DAF6">
      <w:pPr>
        <w:rPr>
          <w:color w:val="000000" w:themeColor="text1"/>
          <w14:textFill>
            <w14:solidFill>
              <w14:schemeClr w14:val="tx1"/>
            </w14:solidFill>
          </w14:textFill>
        </w:rPr>
      </w:pPr>
    </w:p>
    <w:p w14:paraId="64A64729">
      <w:pPr>
        <w:rPr>
          <w:color w:val="000000" w:themeColor="text1"/>
          <w14:textFill>
            <w14:solidFill>
              <w14:schemeClr w14:val="tx1"/>
            </w14:solidFill>
          </w14:textFill>
        </w:rPr>
      </w:pPr>
    </w:p>
    <w:p w14:paraId="2EB466F0">
      <w:pPr>
        <w:rPr>
          <w:color w:val="000000" w:themeColor="text1"/>
          <w14:textFill>
            <w14:solidFill>
              <w14:schemeClr w14:val="tx1"/>
            </w14:solidFill>
          </w14:textFill>
        </w:rPr>
      </w:pPr>
    </w:p>
    <w:p w14:paraId="48D43160">
      <w:pPr>
        <w:pStyle w:val="7"/>
        <w:pageBreakBefore/>
        <w:ind w:firstLine="562" w:firstLineChars="200"/>
        <w:jc w:val="center"/>
        <w:rPr>
          <w:rFonts w:hAnsi="宋体"/>
          <w:b/>
          <w:color w:val="000000" w:themeColor="text1"/>
          <w:sz w:val="28"/>
          <w:szCs w:val="28"/>
          <w:lang w:val="en-GB"/>
          <w14:textFill>
            <w14:solidFill>
              <w14:schemeClr w14:val="tx1"/>
            </w14:solidFill>
          </w14:textFill>
        </w:rPr>
      </w:pPr>
      <w:r>
        <w:rPr>
          <w:rFonts w:hint="eastAsia" w:hAnsi="宋体"/>
          <w:b/>
          <w:color w:val="000000" w:themeColor="text1"/>
          <w:sz w:val="28"/>
          <w:szCs w:val="28"/>
          <w14:textFill>
            <w14:solidFill>
              <w14:schemeClr w14:val="tx1"/>
            </w14:solidFill>
          </w14:textFill>
        </w:rPr>
        <w:t xml:space="preserve">格式6 </w:t>
      </w:r>
      <w:r>
        <w:rPr>
          <w:rFonts w:hint="eastAsia" w:hAnsi="宋体"/>
          <w:b/>
          <w:color w:val="000000" w:themeColor="text1"/>
          <w:sz w:val="28"/>
          <w:szCs w:val="28"/>
          <w:lang w:val="en-GB"/>
          <w14:textFill>
            <w14:solidFill>
              <w14:schemeClr w14:val="tx1"/>
            </w14:solidFill>
          </w14:textFill>
        </w:rPr>
        <w:t>供应商声明</w:t>
      </w:r>
    </w:p>
    <w:p w14:paraId="7EF2BDC2">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广州大学:</w:t>
      </w:r>
    </w:p>
    <w:p w14:paraId="54F9A5CE">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本公司就参加</w:t>
      </w:r>
      <w:r>
        <w:rPr>
          <w:rFonts w:hint="eastAsia" w:ascii="宋体"/>
          <w:color w:val="000000" w:themeColor="text1"/>
          <w:sz w:val="24"/>
          <w:u w:val="single"/>
          <w14:textFill>
            <w14:solidFill>
              <w14:schemeClr w14:val="tx1"/>
            </w14:solidFill>
          </w14:textFill>
        </w:rPr>
        <w:t xml:space="preserve">                        </w:t>
      </w:r>
      <w:r>
        <w:rPr>
          <w:rFonts w:hint="eastAsia" w:ascii="宋体"/>
          <w:color w:val="000000" w:themeColor="text1"/>
          <w:sz w:val="24"/>
          <w14:textFill>
            <w14:solidFill>
              <w14:schemeClr w14:val="tx1"/>
            </w14:solidFill>
          </w14:textFill>
        </w:rPr>
        <w:t>项目报价</w:t>
      </w:r>
      <w:r>
        <w:rPr>
          <w:rFonts w:hint="eastAsia" w:ascii="宋体" w:hAnsi="宋体"/>
          <w:color w:val="000000" w:themeColor="text1"/>
          <w:sz w:val="24"/>
          <w14:textFill>
            <w14:solidFill>
              <w14:schemeClr w14:val="tx1"/>
            </w14:solidFill>
          </w14:textFill>
        </w:rPr>
        <w:t>工作，作出郑重声明:</w:t>
      </w:r>
    </w:p>
    <w:p w14:paraId="7DD57832">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一、本公司保证所有报价材料及其后提供的一切材料都是真实的。如我司成为本项目成交候选人，我司同意并授权采购人将我司报价文件商务部分的人员、业绩、奖项等资料进行公开。</w:t>
      </w:r>
    </w:p>
    <w:p w14:paraId="6393EC5D">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二、本公司保证在本项目报价中不与其他单位围标、串标，不出让报价资格，不向采购人或评标委员会成员行贿。</w:t>
      </w:r>
    </w:p>
    <w:p w14:paraId="2EF61BC4">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本公司没有处于被责令停业的状态;没有处于被建设行政主管部门取消投标资格的处罚期内；没有处于财产被接管、冻结、破产的状态；本公司没有在报价截止时间前三年内被人民法院判决犯有行贿罪的记录。报价截止日期前三年内，本公司没有弄虚作假骗取中标、围标串标行为(以行政主管部门或法院或检察院书面认定为准)，本公司没有被人民法院列入失信被执行人名单。在报价截止日期前三年内没有建设行政主管部门已书面认定的重大工程质量问题。本公司未在以往工程中因不诚信行为或不充分履约行为被本项目采购人书面拒绝投标；本公司未被纳入联合惩戒范围。</w:t>
      </w:r>
    </w:p>
    <w:p w14:paraId="20117607">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四、本公司自20</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年1月1日至今未因以往检测工作中存在伪造检测数据、出具虚假检测报告的行为被各级建设行政主管部门或市场监督管理部门行政处罚或通报。</w:t>
      </w:r>
    </w:p>
    <w:p w14:paraId="38362CD3">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本公司及其有隶属关系的机构没有参加本项目的设计、前期工作、招标文件编写、监理工作；本公司与承担本项目施工和监理业务的单位没有隶属关系或其他利害关系；本公司与采购人没有隶属关系或其他利害关系；本公司与本工程的承包单位以及建筑材料、建筑构配件和设备供应单位没有隶属关系或其他利害关系。</w:t>
      </w:r>
    </w:p>
    <w:p w14:paraId="3A2E3384">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六、与本公司单位负责人为同一人或者与本公司存在控股、管理关系的其他单位包括</w:t>
      </w:r>
      <w:r>
        <w:rPr>
          <w:rFonts w:hint="eastAsia" w:asci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(注:本条由供应商如实填写，如有，应列出全部满足询价公告资质要求的相关单位的名称;如无，则填写“无”。)</w:t>
      </w:r>
    </w:p>
    <w:p w14:paraId="379641CF">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七、本公司承诺，中标后严格执行安全生产相关管理规定。</w:t>
      </w:r>
    </w:p>
    <w:p w14:paraId="116B198E">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八、本公司承诺，中标后严格按照合同和询价、报价文件规定履行义务，并同意采购人将其履行合同、询价、报价文件义务的履约情况和不诚信行为(包括但不限于由采购人做出的违约责任处理决定等)在采购人网站和建设主管部门网站及其他媒体上公开披露，由此造成的一切损失和不利后果均由本公司自行承担。</w:t>
      </w:r>
    </w:p>
    <w:p w14:paraId="693B643C">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本公司违反上述承诺，或本声明陈述与事实不符，经查实，本公司愿意接受公开通报，承担由此带来的法律后果。</w:t>
      </w:r>
    </w:p>
    <w:p w14:paraId="40D2CD8C">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特此声明。</w:t>
      </w:r>
    </w:p>
    <w:p w14:paraId="6BC4A2DA">
      <w:pPr>
        <w:spacing w:line="360" w:lineRule="auto"/>
        <w:rPr>
          <w:rFonts w:ascii="宋体" w:hAnsi="宋体"/>
          <w:color w:val="000000" w:themeColor="text1"/>
          <w:sz w:val="24"/>
          <w14:textFill>
            <w14:solidFill>
              <w14:schemeClr w14:val="tx1"/>
            </w14:solidFill>
          </w14:textFill>
        </w:rPr>
      </w:pPr>
    </w:p>
    <w:p w14:paraId="0323D77D">
      <w:pPr>
        <w:spacing w:line="360" w:lineRule="auto"/>
        <w:ind w:right="96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供应商(公章):</w:t>
      </w:r>
    </w:p>
    <w:p w14:paraId="7FC7F612">
      <w:pPr>
        <w:spacing w:line="360" w:lineRule="auto"/>
        <w:ind w:right="480"/>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法定代表人或授权委托人(签字或盖章):</w:t>
      </w:r>
    </w:p>
    <w:p w14:paraId="228891CD">
      <w:pPr>
        <w:spacing w:line="360" w:lineRule="auto"/>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日期:      年     月     日</w:t>
      </w:r>
    </w:p>
    <w:p w14:paraId="53EAA02A">
      <w:r>
        <w:rPr>
          <w:rFonts w:hint="eastAsia" w:ascii="宋体" w:hAnsi="宋体" w:cs="宋体"/>
          <w:color w:val="000000"/>
          <w:sz w:val="24"/>
        </w:rPr>
        <w:br w:type="page"/>
      </w:r>
    </w:p>
    <w:p w14:paraId="3360BEB7">
      <w:pPr>
        <w:pStyle w:val="13"/>
        <w:rPr>
          <w:rFonts w:hint="eastAsia" w:hAnsi="宋体" w:cs="Courier New" w:asciiTheme="minorHAnsi" w:eastAsiaTheme="minorEastAsia"/>
          <w:b/>
          <w:kern w:val="0"/>
          <w:sz w:val="28"/>
          <w:szCs w:val="28"/>
          <w:lang w:val="en-US" w:eastAsia="zh-CN" w:bidi="ar-SA"/>
        </w:rPr>
      </w:pPr>
      <w:r>
        <w:rPr>
          <w:rFonts w:hint="eastAsia" w:hAnsi="宋体" w:cs="Courier New" w:asciiTheme="minorHAnsi" w:eastAsiaTheme="minorEastAsia"/>
          <w:b/>
          <w:kern w:val="0"/>
          <w:sz w:val="28"/>
          <w:szCs w:val="28"/>
          <w:lang w:val="en-US" w:eastAsia="zh-CN" w:bidi="ar-SA"/>
        </w:rPr>
        <w:t>合同模板</w:t>
      </w:r>
      <w:r>
        <w:rPr>
          <w:rFonts w:hint="eastAsia" w:hAnsi="宋体" w:cs="Courier New" w:asciiTheme="minorHAnsi"/>
          <w:b/>
          <w:kern w:val="0"/>
          <w:sz w:val="28"/>
          <w:szCs w:val="28"/>
          <w:lang w:val="en-US" w:eastAsia="zh-CN" w:bidi="ar-SA"/>
        </w:rPr>
        <w:t>：</w:t>
      </w:r>
    </w:p>
    <w:p w14:paraId="7B57FA89">
      <w:pPr>
        <w:spacing w:line="560" w:lineRule="exact"/>
        <w:jc w:val="center"/>
        <w:rPr>
          <w:rFonts w:ascii="华文中宋" w:hAnsi="华文中宋" w:eastAsia="华文中宋" w:cs="华文中宋"/>
          <w:sz w:val="36"/>
          <w:szCs w:val="36"/>
        </w:rPr>
      </w:pPr>
    </w:p>
    <w:p w14:paraId="17590657">
      <w:pPr>
        <w:pStyle w:val="4"/>
        <w:jc w:val="center"/>
        <w:rPr>
          <w:rFonts w:ascii="华文中宋" w:hAnsi="华文中宋" w:eastAsia="华文中宋" w:cs="华文中宋"/>
          <w:kern w:val="2"/>
          <w:sz w:val="36"/>
          <w:szCs w:val="36"/>
        </w:rPr>
      </w:pPr>
      <w:r>
        <w:rPr>
          <w:rFonts w:hint="eastAsia" w:ascii="华文中宋" w:hAnsi="华文中宋" w:eastAsia="华文中宋" w:cs="华文中宋"/>
          <w:kern w:val="2"/>
          <w:sz w:val="36"/>
          <w:szCs w:val="36"/>
        </w:rPr>
        <w:t>广州大学</w:t>
      </w:r>
      <w:r>
        <w:rPr>
          <w:rFonts w:hint="eastAsia" w:ascii="华文中宋" w:hAnsi="华文中宋" w:eastAsia="华文中宋" w:cs="华文中宋"/>
          <w:kern w:val="2"/>
          <w:sz w:val="36"/>
          <w:szCs w:val="36"/>
          <w:lang w:eastAsia="zh-CN"/>
        </w:rPr>
        <w:t>2026年</w:t>
      </w:r>
      <w:r>
        <w:rPr>
          <w:rFonts w:hint="eastAsia" w:ascii="华文中宋" w:hAnsi="华文中宋" w:eastAsia="华文中宋" w:cs="华文中宋"/>
          <w:kern w:val="2"/>
          <w:sz w:val="36"/>
          <w:szCs w:val="36"/>
        </w:rPr>
        <w:t>大学城校区毕业生宿舍维修</w:t>
      </w:r>
    </w:p>
    <w:p w14:paraId="00523D7B">
      <w:pPr>
        <w:pStyle w:val="4"/>
        <w:jc w:val="center"/>
      </w:pPr>
      <w:r>
        <w:rPr>
          <w:rFonts w:hint="eastAsia" w:ascii="华文中宋" w:hAnsi="华文中宋" w:eastAsia="华文中宋" w:cs="华文中宋"/>
          <w:kern w:val="2"/>
          <w:sz w:val="36"/>
          <w:szCs w:val="36"/>
        </w:rPr>
        <w:t>翻新工程检测服务</w:t>
      </w:r>
    </w:p>
    <w:p w14:paraId="20C4BC72">
      <w:pPr>
        <w:pStyle w:val="4"/>
      </w:pPr>
    </w:p>
    <w:p w14:paraId="0D6D2D32">
      <w:pPr>
        <w:pStyle w:val="4"/>
      </w:pPr>
    </w:p>
    <w:p w14:paraId="2E164AB2">
      <w:pPr>
        <w:rPr>
          <w:rFonts w:eastAsia="黑体"/>
          <w:sz w:val="44"/>
        </w:rPr>
      </w:pPr>
    </w:p>
    <w:p w14:paraId="13B0A993">
      <w:pPr>
        <w:pStyle w:val="4"/>
        <w:ind w:firstLine="422"/>
        <w:rPr>
          <w:bCs/>
        </w:rPr>
      </w:pPr>
    </w:p>
    <w:p w14:paraId="1C386A76">
      <w:pPr>
        <w:pStyle w:val="4"/>
        <w:ind w:firstLine="723"/>
        <w:rPr>
          <w:bCs/>
          <w:sz w:val="36"/>
          <w:szCs w:val="36"/>
        </w:rPr>
      </w:pPr>
    </w:p>
    <w:p w14:paraId="3DB3B37D">
      <w:pPr>
        <w:jc w:val="center"/>
        <w:rPr>
          <w:rFonts w:eastAsia="黑体"/>
          <w:bCs/>
          <w:sz w:val="36"/>
          <w:szCs w:val="36"/>
        </w:rPr>
      </w:pPr>
    </w:p>
    <w:p w14:paraId="513C4E3A">
      <w:pPr>
        <w:ind w:firstLine="1920" w:firstLineChars="600"/>
        <w:rPr>
          <w:rFonts w:ascii="宋体" w:hAnsi="宋体"/>
          <w:bCs/>
          <w:sz w:val="32"/>
          <w:szCs w:val="32"/>
          <w14:shadow w14:blurRad="50800" w14:dist="38100" w14:dir="2700000" w14:sx="100000" w14:sy="100000" w14:kx="0" w14:ky="0" w14:algn="tl">
            <w14:srgbClr w14:val="000000">
              <w14:alpha w14:val="60000"/>
            </w14:srgbClr>
          </w14:shadow>
        </w:rPr>
      </w:pPr>
    </w:p>
    <w:p w14:paraId="0196F37F">
      <w:pPr>
        <w:ind w:firstLine="1920" w:firstLineChars="600"/>
        <w:rPr>
          <w:rFonts w:eastAsia="黑体"/>
          <w:sz w:val="36"/>
        </w:rPr>
      </w:pPr>
      <w:r>
        <w:rPr>
          <w:rFonts w:hint="eastAsia" w:ascii="宋体" w:hAnsi="宋体"/>
          <w:bCs/>
          <w:sz w:val="32"/>
          <w:szCs w:val="32"/>
        </w:rPr>
        <w:t>合同编号：</w:t>
      </w:r>
      <w:r>
        <w:rPr>
          <w:rFonts w:hint="eastAsia" w:ascii="宋体" w:hAnsi="宋体"/>
          <w:bCs/>
          <w:sz w:val="32"/>
          <w:u w:val="single"/>
        </w:rPr>
        <w:t xml:space="preserve">                </w:t>
      </w:r>
    </w:p>
    <w:p w14:paraId="52232BB3">
      <w:pPr>
        <w:jc w:val="center"/>
        <w:rPr>
          <w:rFonts w:eastAsia="黑体"/>
          <w:sz w:val="36"/>
        </w:rPr>
      </w:pPr>
    </w:p>
    <w:p w14:paraId="5B1F349F">
      <w:pPr>
        <w:pStyle w:val="22"/>
        <w:ind w:firstLine="0" w:firstLineChars="0"/>
        <w:jc w:val="center"/>
        <w:rPr>
          <w:rFonts w:ascii="宋体" w:hAnsi="宋体"/>
          <w:bCs/>
          <w:spacing w:val="0"/>
        </w:rPr>
      </w:pPr>
    </w:p>
    <w:p w14:paraId="68E65DB4">
      <w:pPr>
        <w:pStyle w:val="22"/>
        <w:ind w:firstLine="0" w:firstLineChars="0"/>
        <w:jc w:val="center"/>
        <w:rPr>
          <w:rFonts w:ascii="宋体" w:hAnsi="宋体"/>
          <w:bCs/>
          <w:spacing w:val="0"/>
        </w:rPr>
      </w:pPr>
    </w:p>
    <w:p w14:paraId="5089E18A">
      <w:pPr>
        <w:pStyle w:val="22"/>
        <w:ind w:firstLine="0" w:firstLineChars="0"/>
        <w:jc w:val="center"/>
        <w:rPr>
          <w:rFonts w:ascii="宋体" w:hAnsi="宋体"/>
          <w:bCs/>
          <w:spacing w:val="0"/>
        </w:rPr>
      </w:pPr>
    </w:p>
    <w:p w14:paraId="15512D31">
      <w:pPr>
        <w:pStyle w:val="22"/>
        <w:ind w:firstLine="0" w:firstLineChars="0"/>
        <w:jc w:val="center"/>
        <w:rPr>
          <w:rFonts w:ascii="宋体" w:hAnsi="宋体"/>
          <w:bCs/>
          <w:spacing w:val="0"/>
        </w:rPr>
      </w:pPr>
    </w:p>
    <w:p w14:paraId="6985893B">
      <w:pPr>
        <w:pStyle w:val="22"/>
        <w:ind w:firstLine="0" w:firstLineChars="0"/>
        <w:jc w:val="center"/>
        <w:rPr>
          <w:rFonts w:ascii="宋体" w:hAnsi="宋体"/>
          <w:bCs/>
          <w:spacing w:val="0"/>
        </w:rPr>
      </w:pPr>
    </w:p>
    <w:p w14:paraId="659AA93F">
      <w:pPr>
        <w:pStyle w:val="22"/>
        <w:ind w:firstLine="627" w:firstLineChars="196"/>
        <w:rPr>
          <w:rFonts w:ascii="宋体" w:hAnsi="宋体"/>
          <w:bCs/>
          <w:spacing w:val="0"/>
          <w:sz w:val="32"/>
          <w:szCs w:val="32"/>
        </w:rPr>
      </w:pPr>
      <w:r>
        <w:rPr>
          <w:rFonts w:hint="eastAsia" w:ascii="宋体" w:hAnsi="宋体"/>
          <w:bCs/>
          <w:spacing w:val="0"/>
          <w:sz w:val="32"/>
          <w:szCs w:val="32"/>
        </w:rPr>
        <w:t xml:space="preserve">委托单位（甲方）: </w:t>
      </w:r>
      <w:r>
        <w:rPr>
          <w:rFonts w:hint="eastAsia" w:ascii="宋体" w:hAnsi="宋体"/>
          <w:spacing w:val="0"/>
          <w:sz w:val="32"/>
          <w:szCs w:val="32"/>
          <w:u w:val="single"/>
        </w:rPr>
        <w:t xml:space="preserve">       广州大学    </w:t>
      </w:r>
      <w:r>
        <w:rPr>
          <w:rFonts w:hint="eastAsia" w:ascii="宋体" w:hAnsi="宋体"/>
          <w:spacing w:val="0"/>
          <w:sz w:val="32"/>
          <w:szCs w:val="32"/>
        </w:rPr>
        <w:t>（盖章）</w:t>
      </w:r>
    </w:p>
    <w:p w14:paraId="71587E9C">
      <w:pPr>
        <w:pStyle w:val="22"/>
        <w:ind w:firstLine="640"/>
        <w:rPr>
          <w:rFonts w:ascii="宋体" w:hAnsi="宋体"/>
          <w:bCs/>
          <w:spacing w:val="0"/>
          <w:sz w:val="32"/>
          <w:szCs w:val="32"/>
        </w:rPr>
      </w:pPr>
      <w:r>
        <w:rPr>
          <w:rFonts w:hint="eastAsia" w:ascii="宋体" w:hAnsi="宋体"/>
          <w:bCs/>
          <w:spacing w:val="0"/>
          <w:sz w:val="32"/>
          <w:szCs w:val="32"/>
        </w:rPr>
        <w:t xml:space="preserve">受托单位（乙方）: </w:t>
      </w:r>
      <w:r>
        <w:rPr>
          <w:rFonts w:hint="eastAsia" w:ascii="宋体" w:hAnsi="宋体"/>
          <w:spacing w:val="0"/>
          <w:sz w:val="32"/>
          <w:szCs w:val="32"/>
          <w:u w:val="single"/>
        </w:rPr>
        <w:t xml:space="preserve">                   </w:t>
      </w:r>
      <w:r>
        <w:rPr>
          <w:rFonts w:hint="eastAsia" w:ascii="宋体" w:hAnsi="宋体"/>
          <w:spacing w:val="0"/>
          <w:sz w:val="32"/>
          <w:szCs w:val="32"/>
        </w:rPr>
        <w:t>（盖章）</w:t>
      </w:r>
    </w:p>
    <w:p w14:paraId="144602D1">
      <w:pPr>
        <w:pStyle w:val="22"/>
        <w:ind w:firstLine="0" w:firstLineChars="0"/>
        <w:rPr>
          <w:rFonts w:ascii="宋体" w:hAnsi="宋体"/>
          <w:bCs/>
          <w:spacing w:val="0"/>
        </w:rPr>
      </w:pPr>
    </w:p>
    <w:p w14:paraId="2DBC0996">
      <w:pPr>
        <w:pStyle w:val="22"/>
        <w:ind w:firstLine="480"/>
        <w:jc w:val="center"/>
        <w:rPr>
          <w:rFonts w:ascii="宋体" w:hAnsi="宋体"/>
          <w:bCs/>
          <w:spacing w:val="0"/>
        </w:rPr>
      </w:pPr>
    </w:p>
    <w:p w14:paraId="48C132C9"/>
    <w:p w14:paraId="6A5F47A5"/>
    <w:p w14:paraId="588AF6F5"/>
    <w:p w14:paraId="78FBB8B2"/>
    <w:p w14:paraId="44D59693">
      <w:pPr>
        <w:jc w:val="center"/>
        <w:rPr>
          <w:rFonts w:ascii="宋体" w:hAnsi="宋体"/>
          <w:kern w:val="0"/>
          <w:sz w:val="32"/>
          <w:szCs w:val="32"/>
        </w:rPr>
      </w:pPr>
    </w:p>
    <w:p w14:paraId="7F7D93F5">
      <w:pPr>
        <w:pStyle w:val="6"/>
        <w:spacing w:line="360" w:lineRule="auto"/>
        <w:jc w:val="center"/>
        <w:rPr>
          <w:rFonts w:ascii="宋体" w:hAnsi="宋体"/>
        </w:rPr>
      </w:pPr>
      <w:r>
        <w:rPr>
          <w:rFonts w:hint="eastAsia" w:ascii="宋体" w:hAnsi="宋体"/>
          <w:sz w:val="32"/>
          <w:szCs w:val="32"/>
        </w:rPr>
        <w:t xml:space="preserve"> </w:t>
      </w:r>
    </w:p>
    <w:p w14:paraId="4A482FA2">
      <w:pPr>
        <w:spacing w:line="360" w:lineRule="auto"/>
        <w:ind w:left="1920" w:hanging="1920" w:hangingChars="800"/>
        <w:rPr>
          <w:rFonts w:ascii="宋体" w:hAnsi="宋体"/>
          <w:sz w:val="24"/>
          <w:u w:val="single"/>
        </w:rPr>
      </w:pPr>
      <w:r>
        <w:rPr>
          <w:rFonts w:hint="eastAsia" w:ascii="宋体" w:hAnsi="宋体"/>
          <w:sz w:val="24"/>
        </w:rPr>
        <w:t>委托单位（甲方）：</w:t>
      </w:r>
      <w:r>
        <w:rPr>
          <w:rFonts w:hint="eastAsia" w:ascii="宋体" w:hAnsi="宋体"/>
          <w:sz w:val="24"/>
          <w:u w:val="single"/>
        </w:rPr>
        <w:t>广州大学</w:t>
      </w:r>
    </w:p>
    <w:p w14:paraId="6361307F">
      <w:pPr>
        <w:pStyle w:val="6"/>
        <w:spacing w:line="360" w:lineRule="auto"/>
        <w:rPr>
          <w:rFonts w:ascii="宋体" w:hAnsi="宋体"/>
          <w:u w:val="single"/>
        </w:rPr>
      </w:pPr>
      <w:r>
        <w:rPr>
          <w:rFonts w:ascii="宋体" w:hAnsi="宋体"/>
        </w:rPr>
        <mc:AlternateContent>
          <mc:Choice Requires="wps">
            <w:drawing>
              <wp:anchor distT="0" distB="0" distL="114300" distR="114300" simplePos="0" relativeHeight="251663360" behindDoc="0" locked="0" layoutInCell="0" allowOverlap="1">
                <wp:simplePos x="0" y="0"/>
                <wp:positionH relativeFrom="column">
                  <wp:posOffset>1460500</wp:posOffset>
                </wp:positionH>
                <wp:positionV relativeFrom="paragraph">
                  <wp:posOffset>172720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15pt;margin-top:13.6pt;height:0pt;width:0.05pt;z-index:251663360;mso-width-relative:page;mso-height-relative:page;" filled="f" stroked="t" coordsize="21600,21600" o:allowincell="f" o:gfxdata="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B8A&#10;NN/VAAAACQEAAA8AAAAAAAAAAQAgAAAAIgAAAGRycy9kb3ducmV2LnhtbFBLAQIUABQAAAAIAIdO&#10;4kB1+7767QEAAOIDAAAOAAAAAAAAAAEAIAAAACQBAABkcnMvZTJvRG9jLnhtbFBLBQYAAAAABgAG&#10;AFkBAACDBQAAAAA=&#10;">
                <v:fill on="f" focussize="0,0"/>
                <v:stroke color="#000000" joinstyle="round"/>
                <v:imagedata o:title=""/>
                <o:lock v:ext="edit" aspectratio="f"/>
              </v:line>
            </w:pict>
          </mc:Fallback>
        </mc:AlternateContent>
      </w:r>
      <w:r>
        <w:rPr>
          <w:rFonts w:hint="eastAsia" w:ascii="宋体" w:hAnsi="宋体"/>
        </w:rPr>
        <w:t>受托单位（乙方）：</w:t>
      </w:r>
      <w:r>
        <w:rPr>
          <w:rFonts w:hint="eastAsia" w:ascii="宋体" w:hAnsi="宋体"/>
          <w:u w:val="single"/>
        </w:rPr>
        <w:t xml:space="preserve">                     </w:t>
      </w:r>
    </w:p>
    <w:p w14:paraId="04BA3AD9">
      <w:pPr>
        <w:pStyle w:val="6"/>
        <w:spacing w:line="360" w:lineRule="auto"/>
        <w:ind w:firstLine="480" w:firstLineChars="200"/>
        <w:rPr>
          <w:rFonts w:ascii="宋体" w:hAnsi="宋体"/>
        </w:rPr>
      </w:pPr>
      <w:r>
        <w:rPr>
          <w:rFonts w:ascii="宋体" w:hAnsi="宋体"/>
        </w:rPr>
        <mc:AlternateContent>
          <mc:Choice Requires="wps">
            <w:drawing>
              <wp:anchor distT="0" distB="0" distL="114300" distR="114300" simplePos="0" relativeHeight="251662336" behindDoc="0" locked="0" layoutInCell="0" allowOverlap="1">
                <wp:simplePos x="0" y="0"/>
                <wp:positionH relativeFrom="column">
                  <wp:posOffset>2159000</wp:posOffset>
                </wp:positionH>
                <wp:positionV relativeFrom="paragraph">
                  <wp:posOffset>259715</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70pt;margin-top:20.45pt;height:0pt;width:0.05pt;z-index:251662336;mso-width-relative:page;mso-height-relative:page;" filled="f" stroked="t" coordsize="21600,21600" o:allowincell="f" o:gfxdata="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P&#10;vmra1QAAAAkBAAAPAAAAAAAAAAEAIAAAACIAAABkcnMvZG93bnJldi54bWxQSwECFAAUAAAACACH&#10;TuJAA+eQE+4BAADiAwAADgAAAAAAAAABACAAAAAkAQAAZHJzL2Uyb0RvYy54bWxQSwUGAAAAAAYA&#10;BgBZAQAAhAUAAAAA&#10;">
                <v:fill on="f" focussize="0,0"/>
                <v:stroke color="#000000" joinstyle="round"/>
                <v:imagedata o:title=""/>
                <o:lock v:ext="edit" aspectratio="f"/>
              </v:line>
            </w:pict>
          </mc:Fallback>
        </mc:AlternateContent>
      </w:r>
      <w:r>
        <w:rPr>
          <w:rFonts w:hint="eastAsia" w:ascii="宋体" w:hAnsi="宋体"/>
        </w:rPr>
        <w:t>本合同甲方委托乙方进行</w:t>
      </w:r>
      <w:r>
        <w:rPr>
          <w:rFonts w:hint="eastAsia" w:ascii="宋体" w:hAnsi="宋体"/>
          <w:color w:val="000000"/>
          <w:u w:val="single"/>
        </w:rPr>
        <w:t>广州大学</w:t>
      </w:r>
      <w:r>
        <w:rPr>
          <w:rFonts w:hint="eastAsia" w:ascii="宋体" w:hAnsi="宋体"/>
          <w:color w:val="000000"/>
          <w:u w:val="single"/>
          <w:lang w:eastAsia="zh-CN"/>
        </w:rPr>
        <w:t>2026年</w:t>
      </w:r>
      <w:r>
        <w:rPr>
          <w:rFonts w:hint="eastAsia" w:ascii="宋体" w:hAnsi="宋体"/>
          <w:color w:val="000000"/>
          <w:u w:val="single"/>
        </w:rPr>
        <w:t>大学城校区毕业生宿舍维修翻新工程检测服务</w:t>
      </w:r>
      <w:r>
        <w:rPr>
          <w:rFonts w:hint="eastAsia" w:ascii="宋体" w:hAnsi="宋体"/>
        </w:rPr>
        <w:t>，并支付相应的技术服务报酬。双方经过平等协商，在真实、充分地表达各自意愿的基础上，根据《中华人民共和国民法典》的规定，达成如下协议，并由双方共同恪守。</w:t>
      </w:r>
    </w:p>
    <w:p w14:paraId="737785E0">
      <w:pPr>
        <w:pStyle w:val="6"/>
        <w:spacing w:line="360" w:lineRule="auto"/>
        <w:ind w:firstLine="480" w:firstLineChars="200"/>
        <w:rPr>
          <w:rFonts w:ascii="宋体" w:hAnsi="宋体"/>
        </w:rPr>
      </w:pPr>
    </w:p>
    <w:p w14:paraId="11F11A4C">
      <w:pPr>
        <w:pStyle w:val="6"/>
        <w:spacing w:line="360" w:lineRule="auto"/>
        <w:ind w:firstLine="472" w:firstLineChars="196"/>
        <w:rPr>
          <w:rFonts w:ascii="宋体" w:hAnsi="宋体"/>
          <w:b/>
        </w:rPr>
      </w:pPr>
      <w:r>
        <w:rPr>
          <w:rFonts w:hint="eastAsia" w:ascii="宋体" w:hAnsi="宋体"/>
          <w:b/>
        </w:rPr>
        <w:t>第一条  甲方委托乙方进行技术服务内容</w:t>
      </w:r>
    </w:p>
    <w:p w14:paraId="27452822">
      <w:pPr>
        <w:spacing w:line="360" w:lineRule="auto"/>
        <w:ind w:firstLine="480" w:firstLineChars="200"/>
        <w:rPr>
          <w:rFonts w:ascii="宋体" w:hAnsi="宋体"/>
          <w:sz w:val="24"/>
        </w:rPr>
      </w:pPr>
      <w:r>
        <w:rPr>
          <w:rFonts w:ascii="宋体" w:hAnsi="宋体"/>
          <w:sz w:val="24"/>
        </w:rPr>
        <w:t>1.</w:t>
      </w:r>
      <w:r>
        <w:rPr>
          <w:rFonts w:hint="eastAsia" w:ascii="宋体" w:hAnsi="宋体"/>
          <w:sz w:val="24"/>
        </w:rPr>
        <w:t>1技术服务的目标：严格按照规范要求进行各项检测鉴定工作，及时提供检测鉴定结果，满足工程建设需要。</w:t>
      </w:r>
    </w:p>
    <w:p w14:paraId="1940A662">
      <w:pPr>
        <w:spacing w:line="360" w:lineRule="auto"/>
        <w:ind w:firstLine="480" w:firstLineChars="200"/>
        <w:rPr>
          <w:rFonts w:ascii="宋体" w:hAnsi="宋体"/>
          <w:sz w:val="24"/>
        </w:rPr>
      </w:pPr>
      <w:r>
        <w:rPr>
          <w:rFonts w:hint="eastAsia" w:ascii="宋体" w:hAnsi="宋体"/>
          <w:sz w:val="24"/>
        </w:rPr>
        <w:t>1.2技术服务范围：编制检测鉴定方案经甲方、设计单位、监理单位、施工单位等单位确认，按确认的方案实施检测鉴定并出具检测鉴定报告。</w:t>
      </w:r>
    </w:p>
    <w:p w14:paraId="3D903C8C">
      <w:pPr>
        <w:widowControl/>
        <w:adjustRightInd w:val="0"/>
        <w:snapToGrid w:val="0"/>
        <w:spacing w:line="360" w:lineRule="auto"/>
        <w:ind w:firstLine="480" w:firstLineChars="200"/>
        <w:jc w:val="left"/>
        <w:rPr>
          <w:rFonts w:ascii="宋体" w:hAnsi="宋体"/>
          <w:color w:val="000000"/>
          <w:sz w:val="24"/>
        </w:rPr>
      </w:pPr>
      <w:r>
        <w:rPr>
          <w:rFonts w:hint="eastAsia" w:ascii="宋体" w:hAnsi="宋体"/>
          <w:color w:val="000000"/>
          <w:sz w:val="24"/>
        </w:rPr>
        <w:t>1.3技术服务的内容：包括但不限于报价文件中《清单报价表》的内容和根据相关主管部门要求需检测的其他内容（具体以施工图纸所包含的全部内容为准）。</w:t>
      </w:r>
    </w:p>
    <w:p w14:paraId="31BE8591">
      <w:pPr>
        <w:widowControl/>
        <w:adjustRightInd w:val="0"/>
        <w:snapToGrid w:val="0"/>
        <w:spacing w:line="360" w:lineRule="auto"/>
        <w:ind w:firstLine="480" w:firstLineChars="200"/>
        <w:jc w:val="left"/>
        <w:rPr>
          <w:rFonts w:ascii="宋体" w:hAnsi="宋体"/>
          <w:color w:val="000000"/>
          <w:sz w:val="24"/>
        </w:rPr>
      </w:pPr>
      <w:r>
        <w:rPr>
          <w:rFonts w:hint="eastAsia" w:ascii="宋体" w:hAnsi="宋体"/>
          <w:color w:val="000000"/>
          <w:sz w:val="24"/>
        </w:rPr>
        <w:t>1.4实际工程量以甲方确认为准，甲方根据工程实际情况，有权对乙方的承包范围及内容进行适当调整。调整内容的结算按5.</w:t>
      </w:r>
      <w:r>
        <w:rPr>
          <w:rFonts w:ascii="宋体" w:hAnsi="宋体"/>
          <w:color w:val="000000"/>
          <w:sz w:val="24"/>
        </w:rPr>
        <w:t>4</w:t>
      </w:r>
      <w:r>
        <w:rPr>
          <w:rFonts w:hint="eastAsia" w:ascii="宋体" w:hAnsi="宋体"/>
          <w:color w:val="000000"/>
          <w:sz w:val="24"/>
        </w:rPr>
        <w:t>条款执行，乙方必须无条件服从。</w:t>
      </w:r>
    </w:p>
    <w:p w14:paraId="5C652F9C">
      <w:pPr>
        <w:pStyle w:val="6"/>
        <w:spacing w:line="360" w:lineRule="auto"/>
        <w:ind w:firstLine="480" w:firstLineChars="200"/>
        <w:rPr>
          <w:rFonts w:ascii="宋体" w:hAnsi="宋体"/>
          <w:color w:val="000000"/>
        </w:rPr>
      </w:pPr>
      <w:r>
        <w:rPr>
          <w:rFonts w:hint="eastAsia" w:ascii="宋体" w:hAnsi="宋体"/>
          <w:color w:val="000000"/>
        </w:rPr>
        <w:t>1.5服务范围除以上工程项目检测鉴定服务工作外，还包括：</w:t>
      </w:r>
    </w:p>
    <w:p w14:paraId="150E86D9">
      <w:pPr>
        <w:pStyle w:val="6"/>
        <w:spacing w:line="360" w:lineRule="auto"/>
        <w:ind w:firstLine="480" w:firstLineChars="200"/>
        <w:rPr>
          <w:rFonts w:ascii="宋体" w:hAnsi="宋体"/>
          <w:color w:val="000000"/>
        </w:rPr>
      </w:pPr>
      <w:r>
        <w:rPr>
          <w:rFonts w:hint="eastAsia" w:ascii="宋体" w:hAnsi="宋体"/>
          <w:color w:val="000000"/>
        </w:rPr>
        <w:t>（1） 乙方须根据项目相关资料、规范和相关行政职能部门及采购人要求，结合项目实际情况，编制检测鉴定方案。乙方负责将检测鉴定方案报监理单位、设计单位、采购人等相关单位审批同意后实施，及时按方案及相关规定落实检测工作，并积极与工程相关的施工、监理、设计、咨询等相关单位协调，确保不因检测工作滞后影响本工程项目的建设进度和竣工验收，并负责按要求在相关平台报送检测数据（若需）；</w:t>
      </w:r>
    </w:p>
    <w:p w14:paraId="30FE1D33">
      <w:pPr>
        <w:pStyle w:val="6"/>
        <w:spacing w:line="360" w:lineRule="auto"/>
        <w:ind w:firstLine="480" w:firstLineChars="200"/>
        <w:rPr>
          <w:rFonts w:ascii="宋体" w:hAnsi="宋体"/>
          <w:color w:val="000000"/>
        </w:rPr>
      </w:pPr>
      <w:r>
        <w:rPr>
          <w:rFonts w:hint="eastAsia" w:ascii="宋体" w:hAnsi="宋体"/>
          <w:color w:val="000000"/>
        </w:rPr>
        <w:t>（</w:t>
      </w:r>
      <w:r>
        <w:rPr>
          <w:rFonts w:ascii="宋体" w:hAnsi="宋体"/>
          <w:color w:val="000000"/>
        </w:rPr>
        <w:t>2</w:t>
      </w:r>
      <w:r>
        <w:rPr>
          <w:rFonts w:hint="eastAsia" w:ascii="宋体" w:hAnsi="宋体"/>
          <w:color w:val="000000"/>
        </w:rPr>
        <w:t>）项目实施期间，因项目需要，需对检测方案进行调整（调整包含增减检测数量、或新增、取消检测项目等）的，乙方应充分理解此风险，无条件配合提供检测，并按要求出具检测报告。乙方检测资质不能涵盖调整内容的，报甲方批准后由乙方委托具有相应资质的单位实施。</w:t>
      </w:r>
    </w:p>
    <w:p w14:paraId="18ABC38F">
      <w:pPr>
        <w:pStyle w:val="6"/>
        <w:widowControl/>
        <w:spacing w:line="360" w:lineRule="auto"/>
        <w:rPr>
          <w:rFonts w:ascii="宋体" w:hAnsi="宋体"/>
          <w:b/>
          <w:color w:val="000000"/>
        </w:rPr>
      </w:pPr>
      <w:r>
        <w:rPr>
          <w:rFonts w:hint="eastAsia" w:ascii="宋体" w:hAnsi="宋体"/>
          <w:b/>
          <w:color w:val="000000"/>
        </w:rPr>
        <w:t xml:space="preserve">第二条  乙方完成技术服务工作的要求 </w:t>
      </w:r>
    </w:p>
    <w:p w14:paraId="6C7DC6D5">
      <w:pPr>
        <w:pStyle w:val="6"/>
        <w:spacing w:line="360" w:lineRule="auto"/>
        <w:ind w:firstLine="480" w:firstLineChars="200"/>
        <w:rPr>
          <w:rFonts w:ascii="宋体" w:hAnsi="宋体"/>
          <w:color w:val="000000"/>
        </w:rPr>
      </w:pPr>
      <w:r>
        <w:rPr>
          <w:rFonts w:hint="eastAsia" w:ascii="宋体" w:hAnsi="宋体"/>
          <w:color w:val="000000"/>
        </w:rPr>
        <w:t>2.1技术服务地点：广州大学城校区生活区</w:t>
      </w:r>
    </w:p>
    <w:p w14:paraId="496A19BA">
      <w:pPr>
        <w:pStyle w:val="6"/>
        <w:spacing w:line="360" w:lineRule="auto"/>
        <w:ind w:firstLine="480" w:firstLineChars="200"/>
        <w:rPr>
          <w:rFonts w:ascii="宋体" w:hAnsi="宋体"/>
          <w:color w:val="000000"/>
        </w:rPr>
      </w:pPr>
      <w:r>
        <w:rPr>
          <w:rFonts w:hint="eastAsia" w:ascii="宋体" w:hAnsi="宋体"/>
          <w:color w:val="000000"/>
        </w:rPr>
        <w:t>2.2技术服务期限：从乙方进场</w:t>
      </w:r>
      <w:r>
        <w:rPr>
          <w:rFonts w:hint="eastAsia" w:ascii="宋体" w:hAnsi="宋体"/>
        </w:rPr>
        <w:t>开始至所有检测鉴定服务项目完成，并出具检测鉴定报告止。</w:t>
      </w:r>
      <w:r>
        <w:rPr>
          <w:rFonts w:hint="eastAsia" w:ascii="宋体" w:hAnsi="宋体"/>
          <w:color w:val="000000"/>
        </w:rPr>
        <w:t>服务期限必须满足实际施工要求。</w:t>
      </w:r>
    </w:p>
    <w:p w14:paraId="504D46F5">
      <w:pPr>
        <w:pStyle w:val="6"/>
        <w:spacing w:line="360" w:lineRule="auto"/>
        <w:ind w:firstLine="480" w:firstLineChars="200"/>
        <w:rPr>
          <w:rFonts w:ascii="宋体" w:hAnsi="宋体"/>
          <w:color w:val="000000"/>
        </w:rPr>
      </w:pPr>
      <w:r>
        <w:rPr>
          <w:rFonts w:hint="eastAsia" w:ascii="宋体" w:hAnsi="宋体"/>
          <w:color w:val="000000"/>
        </w:rPr>
        <w:t>2.3技术服务进度：具体检测鉴定时间参照既定检测鉴定方案，并随工程进度、检测反馈及甲方要求做相应的调整。</w:t>
      </w:r>
    </w:p>
    <w:p w14:paraId="18D21D3C">
      <w:pPr>
        <w:pStyle w:val="6"/>
        <w:spacing w:line="360" w:lineRule="auto"/>
        <w:ind w:firstLine="480" w:firstLineChars="200"/>
        <w:rPr>
          <w:rFonts w:ascii="宋体" w:hAnsi="宋体"/>
          <w:color w:val="000000"/>
        </w:rPr>
      </w:pPr>
      <w:r>
        <w:rPr>
          <w:rFonts w:hint="eastAsia" w:ascii="宋体" w:hAnsi="宋体"/>
          <w:color w:val="000000"/>
        </w:rPr>
        <w:t>2.4检测依据：</w:t>
      </w:r>
    </w:p>
    <w:p w14:paraId="40EC2CD1">
      <w:pPr>
        <w:pStyle w:val="6"/>
        <w:spacing w:line="360" w:lineRule="auto"/>
        <w:ind w:firstLine="480" w:firstLineChars="200"/>
        <w:rPr>
          <w:rFonts w:ascii="宋体" w:hAnsi="宋体"/>
          <w:color w:val="000000"/>
        </w:rPr>
      </w:pPr>
      <w:r>
        <w:rPr>
          <w:rFonts w:hint="eastAsia" w:ascii="宋体" w:hAnsi="宋体"/>
          <w:color w:val="000000"/>
        </w:rPr>
        <w:t>（1）国家、省、市现行有关规范和规定；</w:t>
      </w:r>
    </w:p>
    <w:p w14:paraId="69E2EDAC">
      <w:pPr>
        <w:pStyle w:val="6"/>
        <w:spacing w:line="360" w:lineRule="auto"/>
        <w:ind w:firstLine="480" w:firstLineChars="200"/>
        <w:rPr>
          <w:rFonts w:ascii="宋体" w:hAnsi="宋体"/>
          <w:color w:val="000000"/>
        </w:rPr>
      </w:pPr>
      <w:r>
        <w:rPr>
          <w:rFonts w:hint="eastAsia" w:ascii="宋体" w:hAnsi="宋体"/>
          <w:color w:val="000000"/>
        </w:rPr>
        <w:t>（2）甲方提供的相关技术资料（设计图纸等）。</w:t>
      </w:r>
    </w:p>
    <w:p w14:paraId="035BC134">
      <w:pPr>
        <w:pStyle w:val="6"/>
        <w:spacing w:line="360" w:lineRule="auto"/>
        <w:ind w:firstLine="480" w:firstLineChars="200"/>
        <w:rPr>
          <w:rFonts w:ascii="宋体" w:hAnsi="宋体"/>
          <w:color w:val="000000"/>
        </w:rPr>
      </w:pPr>
      <w:r>
        <w:rPr>
          <w:rFonts w:hint="eastAsia" w:ascii="宋体" w:hAnsi="宋体"/>
          <w:color w:val="000000"/>
        </w:rPr>
        <w:t>2.5技术服务质量要求：</w:t>
      </w:r>
    </w:p>
    <w:p w14:paraId="3B511B9C">
      <w:pPr>
        <w:pStyle w:val="6"/>
        <w:spacing w:line="360" w:lineRule="auto"/>
        <w:ind w:firstLine="480" w:firstLineChars="200"/>
        <w:rPr>
          <w:rFonts w:ascii="宋体" w:hAnsi="宋体"/>
          <w:color w:val="000000"/>
        </w:rPr>
      </w:pPr>
      <w:r>
        <w:rPr>
          <w:rFonts w:hint="eastAsia" w:ascii="宋体" w:hAnsi="宋体"/>
          <w:color w:val="000000"/>
        </w:rPr>
        <w:t>（1）各项检测鉴定按国家、省、市现行有关规范和规定的要求及设计要求进行；</w:t>
      </w:r>
    </w:p>
    <w:p w14:paraId="368CA61D">
      <w:pPr>
        <w:pStyle w:val="6"/>
        <w:spacing w:line="360" w:lineRule="auto"/>
        <w:ind w:firstLine="480" w:firstLineChars="200"/>
        <w:rPr>
          <w:rFonts w:ascii="宋体" w:hAnsi="宋体"/>
          <w:color w:val="000000"/>
        </w:rPr>
      </w:pPr>
      <w:r>
        <w:rPr>
          <w:rFonts w:hint="eastAsia" w:ascii="宋体" w:hAnsi="宋体"/>
          <w:color w:val="000000"/>
        </w:rPr>
        <w:t>（2）乙方应根据甲方通知，及时组织人员进行检测鉴定。</w:t>
      </w:r>
    </w:p>
    <w:p w14:paraId="40E05BBE">
      <w:pPr>
        <w:pStyle w:val="6"/>
        <w:spacing w:line="360" w:lineRule="auto"/>
        <w:ind w:firstLine="480" w:firstLineChars="200"/>
        <w:rPr>
          <w:rFonts w:ascii="宋体" w:hAnsi="宋体"/>
          <w:color w:val="000000"/>
        </w:rPr>
      </w:pPr>
      <w:r>
        <w:rPr>
          <w:rFonts w:hint="eastAsia" w:ascii="宋体" w:hAnsi="宋体"/>
          <w:color w:val="000000"/>
        </w:rPr>
        <w:t>（3）根据检测鉴定结果及时出具科学、公正的技术服务报告，满足工程质量验收要求。</w:t>
      </w:r>
    </w:p>
    <w:p w14:paraId="21D9E2D1">
      <w:pPr>
        <w:pStyle w:val="6"/>
        <w:spacing w:line="360" w:lineRule="auto"/>
        <w:ind w:firstLine="480" w:firstLineChars="200"/>
        <w:rPr>
          <w:rFonts w:ascii="宋体" w:hAnsi="宋体"/>
          <w:color w:val="000000"/>
        </w:rPr>
      </w:pPr>
      <w:r>
        <w:rPr>
          <w:rFonts w:hint="eastAsia" w:ascii="宋体" w:hAnsi="宋体"/>
          <w:color w:val="000000"/>
        </w:rPr>
        <w:t>2.6乙方根据行业标准和要求编写技术服务结果报告，在甲方要求的时间内提供技术服务结果报告一式四份。技术报告提交时间如下：在现场满足检测条件后，①建筑材料检测3个日历天内出具初步检测结果，7个日历天内出具检测报告；②室内环境污染物检测3个日历天内出具该批次的检测报告，不得因检测工作滞后影响工程进度（检测单位须根据现场施工进度及时开展检测鉴定工作，并分批出具检测数据及成果文件）。</w:t>
      </w:r>
      <w:r>
        <w:rPr>
          <w:rFonts w:ascii="宋体" w:hAnsi="宋体"/>
          <w:color w:val="000000"/>
        </w:rPr>
        <w:t xml:space="preserve"> </w:t>
      </w:r>
    </w:p>
    <w:p w14:paraId="6E4DA5C5">
      <w:pPr>
        <w:pStyle w:val="6"/>
        <w:spacing w:line="360" w:lineRule="auto"/>
        <w:ind w:firstLine="482" w:firstLineChars="200"/>
        <w:rPr>
          <w:rFonts w:ascii="宋体" w:hAnsi="宋体"/>
          <w:b/>
          <w:color w:val="000000"/>
        </w:rPr>
      </w:pPr>
      <w:r>
        <w:rPr>
          <w:rFonts w:hint="eastAsia" w:ascii="宋体" w:hAnsi="宋体"/>
          <w:b/>
          <w:bCs/>
          <w:color w:val="000000"/>
        </w:rPr>
        <w:t>第三条</w:t>
      </w:r>
      <w:r>
        <w:rPr>
          <w:rFonts w:hint="eastAsia" w:ascii="宋体" w:hAnsi="宋体"/>
          <w:b/>
          <w:color w:val="000000"/>
        </w:rPr>
        <w:t xml:space="preserve"> 甲方权利、义务</w:t>
      </w:r>
    </w:p>
    <w:p w14:paraId="42EECA52">
      <w:pPr>
        <w:pStyle w:val="6"/>
        <w:spacing w:line="360" w:lineRule="auto"/>
        <w:ind w:firstLine="480" w:firstLineChars="200"/>
        <w:rPr>
          <w:rFonts w:ascii="宋体" w:hAnsi="宋体"/>
          <w:color w:val="000000"/>
        </w:rPr>
      </w:pPr>
      <w:bookmarkStart w:id="0" w:name="_Toc10627403"/>
      <w:r>
        <w:rPr>
          <w:rFonts w:hint="eastAsia" w:ascii="宋体" w:hAnsi="宋体"/>
          <w:color w:val="000000"/>
        </w:rPr>
        <w:t>3.1现场监督</w:t>
      </w:r>
      <w:bookmarkEnd w:id="0"/>
    </w:p>
    <w:p w14:paraId="2C1C184C">
      <w:pPr>
        <w:pStyle w:val="6"/>
        <w:spacing w:line="360" w:lineRule="auto"/>
        <w:ind w:firstLine="480" w:firstLineChars="200"/>
        <w:rPr>
          <w:rFonts w:ascii="宋体" w:hAnsi="宋体"/>
          <w:color w:val="000000"/>
        </w:rPr>
      </w:pPr>
      <w:r>
        <w:rPr>
          <w:rFonts w:hint="eastAsia" w:ascii="宋体" w:hAnsi="宋体"/>
          <w:color w:val="000000"/>
        </w:rPr>
        <w:t>甲方有权亲自或派人在工程作业现场实施旁站监督。</w:t>
      </w:r>
    </w:p>
    <w:p w14:paraId="34CF55A3">
      <w:pPr>
        <w:pStyle w:val="6"/>
        <w:spacing w:line="360" w:lineRule="auto"/>
        <w:ind w:firstLine="480" w:firstLineChars="200"/>
        <w:rPr>
          <w:rFonts w:ascii="宋体" w:hAnsi="宋体"/>
          <w:color w:val="000000"/>
        </w:rPr>
      </w:pPr>
      <w:bookmarkStart w:id="1" w:name="_Toc10627404"/>
      <w:r>
        <w:rPr>
          <w:rFonts w:hint="eastAsia" w:ascii="宋体" w:hAnsi="宋体"/>
          <w:color w:val="000000"/>
        </w:rPr>
        <w:t>3.2提供资料和工作条件</w:t>
      </w:r>
      <w:bookmarkEnd w:id="1"/>
    </w:p>
    <w:p w14:paraId="41DA51E6">
      <w:pPr>
        <w:pStyle w:val="6"/>
        <w:spacing w:line="360" w:lineRule="auto"/>
        <w:ind w:firstLine="480" w:firstLineChars="200"/>
        <w:rPr>
          <w:rFonts w:ascii="宋体" w:hAnsi="宋体"/>
          <w:color w:val="000000"/>
        </w:rPr>
      </w:pPr>
      <w:r>
        <w:rPr>
          <w:rFonts w:hint="eastAsia" w:ascii="宋体" w:hAnsi="宋体"/>
          <w:color w:val="000000"/>
        </w:rPr>
        <w:t>3.2.1甲方应当在专用条款约定范围内向乙方提供与本合同检测业务有关的资料。在本合同履行过程中，甲方应及时向乙方提供最新的与本合同检测业务有关的资料。</w:t>
      </w:r>
    </w:p>
    <w:p w14:paraId="08810F79">
      <w:pPr>
        <w:pStyle w:val="6"/>
        <w:spacing w:line="360" w:lineRule="auto"/>
        <w:ind w:firstLine="480" w:firstLineChars="200"/>
        <w:rPr>
          <w:rFonts w:ascii="宋体" w:hAnsi="宋体"/>
          <w:color w:val="000000"/>
        </w:rPr>
      </w:pPr>
      <w:r>
        <w:rPr>
          <w:rFonts w:hint="eastAsia" w:ascii="宋体" w:hAnsi="宋体"/>
          <w:color w:val="000000"/>
        </w:rPr>
        <w:t>3.2.2甲方应为乙方完成质量检测提供必要的现场条件，并为保障检测工作顺利进行提供必要的协调和协助工作。</w:t>
      </w:r>
    </w:p>
    <w:p w14:paraId="0F0F1C46">
      <w:pPr>
        <w:pStyle w:val="6"/>
        <w:spacing w:line="360" w:lineRule="auto"/>
        <w:ind w:firstLine="480" w:firstLineChars="200"/>
        <w:rPr>
          <w:rFonts w:ascii="宋体" w:hAnsi="宋体"/>
          <w:color w:val="000000"/>
        </w:rPr>
      </w:pPr>
      <w:bookmarkStart w:id="2" w:name="_Toc10627405"/>
      <w:r>
        <w:rPr>
          <w:rFonts w:hint="eastAsia" w:ascii="宋体" w:hAnsi="宋体"/>
          <w:color w:val="000000"/>
        </w:rPr>
        <w:t>3.3成果确认及验收支付</w:t>
      </w:r>
      <w:bookmarkEnd w:id="2"/>
    </w:p>
    <w:p w14:paraId="03B4E1C3">
      <w:pPr>
        <w:pStyle w:val="6"/>
        <w:spacing w:line="360" w:lineRule="auto"/>
        <w:ind w:firstLine="480" w:firstLineChars="200"/>
        <w:rPr>
          <w:rFonts w:ascii="宋体" w:hAnsi="宋体"/>
          <w:color w:val="000000"/>
        </w:rPr>
      </w:pPr>
      <w:r>
        <w:rPr>
          <w:rFonts w:hint="eastAsia" w:ascii="宋体" w:hAnsi="宋体"/>
          <w:color w:val="000000"/>
        </w:rPr>
        <w:t>3.3.1甲方项目负责人应对乙方按要求完成的工程量予以签字确认。</w:t>
      </w:r>
    </w:p>
    <w:p w14:paraId="2D701DC8">
      <w:pPr>
        <w:pStyle w:val="6"/>
        <w:spacing w:line="360" w:lineRule="auto"/>
        <w:ind w:firstLine="480" w:firstLineChars="200"/>
        <w:rPr>
          <w:rFonts w:ascii="宋体" w:hAnsi="宋体"/>
          <w:color w:val="000000"/>
        </w:rPr>
      </w:pPr>
      <w:r>
        <w:rPr>
          <w:rFonts w:hint="eastAsia" w:ascii="宋体" w:hAnsi="宋体"/>
          <w:color w:val="000000"/>
        </w:rPr>
        <w:t>3.3.2若检测内容或工程量等要求发生变化时，甲方应及时通知乙方。</w:t>
      </w:r>
    </w:p>
    <w:p w14:paraId="2F96978A">
      <w:pPr>
        <w:pStyle w:val="6"/>
        <w:spacing w:line="360" w:lineRule="auto"/>
        <w:ind w:firstLine="480" w:firstLineChars="200"/>
        <w:rPr>
          <w:rFonts w:ascii="宋体" w:hAnsi="宋体"/>
          <w:color w:val="000000"/>
        </w:rPr>
      </w:pPr>
      <w:r>
        <w:rPr>
          <w:rFonts w:hint="eastAsia" w:ascii="宋体" w:hAnsi="宋体"/>
          <w:color w:val="000000"/>
        </w:rPr>
        <w:t>3.3.3甲方应按约定的期限验收检测成果报告，审核结算，支付乙方应得款项。</w:t>
      </w:r>
    </w:p>
    <w:p w14:paraId="0A22AB9E">
      <w:pPr>
        <w:pStyle w:val="6"/>
        <w:spacing w:line="360" w:lineRule="auto"/>
        <w:ind w:firstLine="480" w:firstLineChars="200"/>
        <w:rPr>
          <w:rFonts w:ascii="宋体" w:hAnsi="宋体"/>
          <w:color w:val="000000"/>
        </w:rPr>
      </w:pPr>
      <w:bookmarkStart w:id="3" w:name="_Toc10627406"/>
      <w:r>
        <w:rPr>
          <w:rFonts w:hint="eastAsia" w:ascii="宋体" w:hAnsi="宋体"/>
          <w:color w:val="000000"/>
        </w:rPr>
        <w:t>3.4 其它</w:t>
      </w:r>
      <w:bookmarkEnd w:id="3"/>
    </w:p>
    <w:p w14:paraId="16529A76">
      <w:pPr>
        <w:pStyle w:val="6"/>
        <w:spacing w:line="360" w:lineRule="auto"/>
        <w:ind w:firstLine="480" w:firstLineChars="200"/>
        <w:rPr>
          <w:rFonts w:ascii="宋体" w:hAnsi="宋体"/>
          <w:color w:val="000000"/>
        </w:rPr>
      </w:pPr>
      <w:r>
        <w:rPr>
          <w:rFonts w:hint="eastAsia" w:ascii="宋体" w:hAnsi="宋体"/>
          <w:color w:val="000000"/>
        </w:rPr>
        <w:t>甲方应保护乙方的投标书、检测技术方案、报告书、文件、资料图纸、数据、专利技术和合理化建议，未经乙方同意，不得泄露、不得擅自修改或向与该项目无关的人员转让或用于本合同外的项目。</w:t>
      </w:r>
    </w:p>
    <w:p w14:paraId="45BBA48F">
      <w:pPr>
        <w:snapToGrid w:val="0"/>
        <w:spacing w:line="360" w:lineRule="auto"/>
        <w:ind w:firstLine="540"/>
        <w:rPr>
          <w:rFonts w:ascii="宋体" w:hAnsi="宋体"/>
          <w:color w:val="000000"/>
          <w:sz w:val="24"/>
        </w:rPr>
      </w:pPr>
    </w:p>
    <w:p w14:paraId="1FA216A9">
      <w:pPr>
        <w:pStyle w:val="2"/>
        <w:jc w:val="left"/>
        <w:rPr>
          <w:rFonts w:ascii="宋体" w:hAnsi="宋体"/>
          <w:color w:val="000000"/>
          <w:szCs w:val="22"/>
        </w:rPr>
      </w:pPr>
      <w:r>
        <w:rPr>
          <w:rFonts w:hint="eastAsia" w:ascii="宋体" w:hAnsi="宋体"/>
          <w:color w:val="000000"/>
        </w:rPr>
        <w:t xml:space="preserve">第四条  </w:t>
      </w:r>
      <w:r>
        <w:rPr>
          <w:rFonts w:hint="eastAsia" w:ascii="宋体" w:hAnsi="宋体"/>
          <w:color w:val="000000"/>
          <w:szCs w:val="22"/>
        </w:rPr>
        <w:t>乙方的权利、义务</w:t>
      </w:r>
    </w:p>
    <w:p w14:paraId="2D1DA1FE">
      <w:pPr>
        <w:pStyle w:val="6"/>
        <w:spacing w:line="360" w:lineRule="auto"/>
        <w:ind w:firstLine="480" w:firstLineChars="200"/>
        <w:rPr>
          <w:rFonts w:ascii="宋体" w:hAnsi="宋体"/>
          <w:color w:val="000000"/>
        </w:rPr>
      </w:pPr>
      <w:r>
        <w:rPr>
          <w:rFonts w:hint="eastAsia" w:ascii="宋体" w:hAnsi="宋体"/>
          <w:color w:val="000000"/>
        </w:rPr>
        <w:t>4.1提供检测鉴定前现场准备工作的技术咨询。</w:t>
      </w:r>
    </w:p>
    <w:p w14:paraId="6DE4CA27">
      <w:pPr>
        <w:pStyle w:val="6"/>
        <w:spacing w:line="360" w:lineRule="auto"/>
        <w:ind w:firstLine="480" w:firstLineChars="200"/>
        <w:rPr>
          <w:rFonts w:ascii="宋体" w:hAnsi="宋体"/>
          <w:color w:val="000000"/>
        </w:rPr>
      </w:pPr>
      <w:r>
        <w:rPr>
          <w:rFonts w:hint="eastAsia" w:ascii="宋体" w:hAnsi="宋体"/>
          <w:color w:val="000000"/>
        </w:rPr>
        <w:t>4.2提供检测鉴定所需的材料、设备、仪器。</w:t>
      </w:r>
    </w:p>
    <w:p w14:paraId="5687658D">
      <w:pPr>
        <w:pStyle w:val="6"/>
        <w:spacing w:line="360" w:lineRule="auto"/>
        <w:ind w:firstLine="480" w:firstLineChars="200"/>
        <w:rPr>
          <w:rFonts w:ascii="宋体" w:hAnsi="宋体"/>
          <w:color w:val="000000"/>
        </w:rPr>
      </w:pPr>
      <w:r>
        <w:rPr>
          <w:rFonts w:hint="eastAsia" w:ascii="宋体" w:hAnsi="宋体"/>
          <w:color w:val="000000"/>
        </w:rPr>
        <w:t>4.3保证检测鉴定人员具备相应的检测鉴定资格，保证持有的检测鉴定资质满足地方管理要求。</w:t>
      </w:r>
    </w:p>
    <w:p w14:paraId="3E090691">
      <w:pPr>
        <w:pStyle w:val="6"/>
        <w:spacing w:line="360" w:lineRule="auto"/>
        <w:ind w:firstLine="480" w:firstLineChars="200"/>
        <w:rPr>
          <w:rFonts w:ascii="宋体" w:hAnsi="宋体"/>
          <w:color w:val="000000"/>
        </w:rPr>
      </w:pPr>
      <w:r>
        <w:rPr>
          <w:rFonts w:hint="eastAsia" w:ascii="宋体" w:hAnsi="宋体"/>
          <w:color w:val="000000"/>
        </w:rPr>
        <w:t>4.4在本合同履行过程中，乙方人员应保持相对稳定，以保证检测工作正常进行。乙方可根据工程进展和工作需要等情形调整检测人员，更换项目负责人时应征得甲方同意后方可更换。</w:t>
      </w:r>
    </w:p>
    <w:p w14:paraId="207D0075">
      <w:pPr>
        <w:pStyle w:val="6"/>
        <w:spacing w:line="360" w:lineRule="auto"/>
        <w:ind w:firstLine="480" w:firstLineChars="200"/>
        <w:rPr>
          <w:rFonts w:ascii="宋体" w:hAnsi="宋体"/>
          <w:color w:val="000000"/>
        </w:rPr>
      </w:pPr>
      <w:r>
        <w:rPr>
          <w:rFonts w:hint="eastAsia" w:ascii="宋体" w:hAnsi="宋体"/>
          <w:color w:val="000000"/>
        </w:rPr>
        <w:t>4.5保证检测鉴定的公正性、准确性、及时性，保证检测鉴定工作符合合同约定的规范要求。</w:t>
      </w:r>
    </w:p>
    <w:p w14:paraId="08A47ABE">
      <w:pPr>
        <w:pStyle w:val="6"/>
        <w:spacing w:line="360" w:lineRule="auto"/>
        <w:ind w:firstLine="480" w:firstLineChars="200"/>
        <w:rPr>
          <w:rFonts w:ascii="宋体" w:hAnsi="宋体"/>
          <w:color w:val="000000"/>
        </w:rPr>
      </w:pPr>
      <w:r>
        <w:rPr>
          <w:rFonts w:hint="eastAsia" w:ascii="宋体" w:hAnsi="宋体"/>
          <w:color w:val="000000"/>
        </w:rPr>
        <w:t>4.6保证按合同要求及国家技术规范、标准、规程和各方确认的检测鉴定技术方案按期进行工程质量检测鉴定工作。</w:t>
      </w:r>
    </w:p>
    <w:p w14:paraId="581331E3">
      <w:pPr>
        <w:pStyle w:val="6"/>
        <w:spacing w:line="360" w:lineRule="auto"/>
        <w:ind w:firstLine="480" w:firstLineChars="200"/>
        <w:rPr>
          <w:rFonts w:ascii="宋体" w:hAnsi="宋体"/>
          <w:color w:val="000000"/>
        </w:rPr>
      </w:pPr>
      <w:r>
        <w:rPr>
          <w:rFonts w:hint="eastAsia" w:ascii="宋体" w:hAnsi="宋体"/>
          <w:color w:val="000000"/>
        </w:rPr>
        <w:t>4.7检测鉴定过程中，根据场地条件和技术规范要求，向甲方提出增减工程量或改变检测鉴定方法意见，并办理正式变更手续。</w:t>
      </w:r>
    </w:p>
    <w:p w14:paraId="0AC291CD">
      <w:pPr>
        <w:pStyle w:val="6"/>
        <w:spacing w:line="360" w:lineRule="auto"/>
        <w:ind w:firstLine="480" w:firstLineChars="200"/>
        <w:rPr>
          <w:rFonts w:ascii="宋体" w:hAnsi="宋体"/>
          <w:color w:val="000000"/>
        </w:rPr>
      </w:pPr>
      <w:r>
        <w:rPr>
          <w:rFonts w:hint="eastAsia" w:ascii="宋体" w:hAnsi="宋体"/>
          <w:color w:val="000000"/>
        </w:rPr>
        <w:t>4.8按照国家现行的标准、规范和规程或省市的有关规程、规定进行检测鉴定，根据合同规定的技术要求及进度提交检测鉴定成果，并对其质量负责。由于乙方原因造成工程检测返工或增加工程量，甲方无需另外支付费用，由乙方自行承担。由于乙方原因造成的施工方停工、返工、窝工，由乙方自行承担全部责任并不得向甲方收取其他费用。同时乙方要承担因此给甲方造成的损失。</w:t>
      </w:r>
    </w:p>
    <w:p w14:paraId="011908A5">
      <w:pPr>
        <w:pStyle w:val="2"/>
        <w:jc w:val="left"/>
        <w:rPr>
          <w:rFonts w:ascii="宋体" w:hAnsi="宋体"/>
          <w:b w:val="0"/>
          <w:color w:val="000000"/>
          <w:szCs w:val="22"/>
        </w:rPr>
      </w:pPr>
      <w:r>
        <w:rPr>
          <w:rFonts w:hint="eastAsia" w:ascii="宋体" w:hAnsi="宋体"/>
          <w:b w:val="0"/>
          <w:color w:val="000000"/>
          <w:szCs w:val="22"/>
        </w:rPr>
        <w:t>4.9在检测过程中，发现初步结果异常时，乙方应及时告知甲方及监理单位，并根据结果异常的程度同时向建设工程监督部门报告。</w:t>
      </w:r>
    </w:p>
    <w:p w14:paraId="44A19B97">
      <w:pPr>
        <w:pStyle w:val="2"/>
        <w:jc w:val="left"/>
        <w:rPr>
          <w:rFonts w:ascii="宋体" w:hAnsi="宋体"/>
          <w:b w:val="0"/>
          <w:color w:val="000000"/>
          <w:szCs w:val="22"/>
        </w:rPr>
      </w:pPr>
      <w:r>
        <w:rPr>
          <w:rFonts w:hint="eastAsia" w:ascii="宋体" w:hAnsi="宋体"/>
          <w:b w:val="0"/>
          <w:color w:val="000000"/>
          <w:szCs w:val="22"/>
        </w:rPr>
        <w:t>4.10乙方负责检测鉴定过程中人员及相关设施设备的安全，并购买相应的保险，遵守安全操作规范，因违规操作造成的损失由乙方负责。检测过程中，对可能造成伤害的区域，乙方应采取防护、防范和警示措施，并严格按省、市、区对现场安全文明施工的相关规定执行。</w:t>
      </w:r>
    </w:p>
    <w:p w14:paraId="2E8665DA">
      <w:pPr>
        <w:pStyle w:val="2"/>
        <w:jc w:val="left"/>
        <w:rPr>
          <w:rFonts w:ascii="宋体" w:hAnsi="宋体"/>
          <w:b w:val="0"/>
          <w:color w:val="000000"/>
          <w:szCs w:val="22"/>
        </w:rPr>
      </w:pPr>
      <w:r>
        <w:rPr>
          <w:rFonts w:hint="eastAsia" w:ascii="宋体" w:hAnsi="宋体"/>
          <w:b w:val="0"/>
          <w:color w:val="000000"/>
          <w:szCs w:val="22"/>
        </w:rPr>
        <w:t>4.11乙方检测人员必须持证上岗，甲方有权对现场检测人员的上岗证进行查实，如出现无证上岗现象甲方有权作出处罚或上报主管部门。乙方必须按投标承诺派出满足本检测服务需要人员，未经甲方同意，乙方不得擅自更换人员。甲方有权要求乙方更换不能按照检测合同的规定履行合同检测人员，其代替的检测人员的资质需不低于投标文件的承诺，并且应得到甲方的认可。</w:t>
      </w:r>
    </w:p>
    <w:p w14:paraId="463BCF09">
      <w:pPr>
        <w:pStyle w:val="2"/>
        <w:jc w:val="left"/>
        <w:rPr>
          <w:rFonts w:ascii="宋体" w:hAnsi="宋体"/>
          <w:b w:val="0"/>
          <w:color w:val="000000"/>
          <w:szCs w:val="22"/>
        </w:rPr>
      </w:pPr>
      <w:r>
        <w:rPr>
          <w:rFonts w:hint="eastAsia" w:ascii="宋体" w:hAnsi="宋体"/>
          <w:b w:val="0"/>
          <w:color w:val="000000"/>
          <w:szCs w:val="22"/>
        </w:rPr>
        <w:t>4.12 甲方不提供住宿、食堂及办公场所，乙方必须严格遵守省、市、区及学校治安管理相关规定。</w:t>
      </w:r>
    </w:p>
    <w:p w14:paraId="35E59EF8">
      <w:pPr>
        <w:pStyle w:val="6"/>
        <w:spacing w:line="360" w:lineRule="auto"/>
        <w:rPr>
          <w:rFonts w:ascii="宋体" w:hAnsi="宋体"/>
          <w:b/>
          <w:color w:val="000000"/>
        </w:rPr>
      </w:pPr>
      <w:r>
        <w:rPr>
          <w:rFonts w:hint="eastAsia" w:ascii="宋体" w:hAnsi="宋体"/>
          <w:b/>
          <w:color w:val="000000"/>
        </w:rPr>
        <w:t>第五条  技术服务费用及支付方式</w:t>
      </w:r>
    </w:p>
    <w:p w14:paraId="0558E2E8">
      <w:pPr>
        <w:pStyle w:val="6"/>
        <w:spacing w:line="360" w:lineRule="auto"/>
        <w:ind w:firstLine="480" w:firstLineChars="200"/>
        <w:rPr>
          <w:rFonts w:ascii="宋体" w:hAnsi="宋体"/>
          <w:color w:val="000000"/>
        </w:rPr>
      </w:pPr>
      <w:r>
        <w:rPr>
          <w:rFonts w:hint="eastAsia" w:ascii="宋体" w:hAnsi="宋体"/>
          <w:color w:val="000000"/>
        </w:rPr>
        <w:t>5.1检测鉴定费按全费用综合单价包干，含检测费、劳务费、材料费、仪器工具使用费、进退场费、交通费、差旅费、保险费、试验费、报告编写费、实物工作收费、技术工作收费、参加相关验收的费用、各项管理费，以及所有因对应标段服务工作应交纳的政府规费、利润、税金等全部费用，包含与建设项目相关单位的协调以及本项目可能产生的风险等所有费用，检测数量按实结算，实际工程量以甲方审核确认为准。</w:t>
      </w:r>
    </w:p>
    <w:p w14:paraId="51DA11E9">
      <w:pPr>
        <w:pStyle w:val="6"/>
        <w:spacing w:line="360" w:lineRule="auto"/>
        <w:ind w:firstLine="480" w:firstLineChars="200"/>
        <w:jc w:val="left"/>
        <w:rPr>
          <w:rFonts w:ascii="宋体" w:hAnsi="宋体"/>
        </w:rPr>
      </w:pPr>
      <w:r>
        <w:rPr>
          <w:rFonts w:hint="eastAsia" w:ascii="宋体" w:hAnsi="宋体"/>
        </w:rPr>
        <w:t>5.</w:t>
      </w:r>
      <w:r>
        <w:rPr>
          <w:rFonts w:ascii="宋体" w:hAnsi="宋体"/>
        </w:rPr>
        <w:t>2</w:t>
      </w:r>
      <w:r>
        <w:rPr>
          <w:rFonts w:hint="eastAsia" w:ascii="宋体" w:hAnsi="宋体"/>
        </w:rPr>
        <w:t xml:space="preserve"> 本项目合同总价为：人民币（大写）</w:t>
      </w:r>
      <w:r>
        <w:rPr>
          <w:rFonts w:hint="eastAsia" w:ascii="宋体" w:hAnsi="宋体"/>
          <w:u w:val="single"/>
        </w:rPr>
        <w:t>     </w:t>
      </w:r>
      <w:r>
        <w:rPr>
          <w:rFonts w:hint="eastAsia" w:ascii="宋体" w:hAnsi="宋体"/>
        </w:rPr>
        <w:t>（小写）¥</w:t>
      </w:r>
      <w:r>
        <w:rPr>
          <w:rFonts w:hint="eastAsia" w:ascii="宋体" w:hAnsi="宋体"/>
          <w:u w:val="single"/>
        </w:rPr>
        <w:t xml:space="preserve">   </w:t>
      </w:r>
      <w:r>
        <w:rPr>
          <w:rFonts w:hint="eastAsia" w:ascii="宋体" w:hAnsi="宋体"/>
        </w:rPr>
        <w:t>元，其中暂列金为</w:t>
      </w:r>
      <w:r>
        <w:rPr>
          <w:rFonts w:ascii="宋体" w:hAnsi="宋体"/>
        </w:rPr>
        <w:t>20</w:t>
      </w:r>
      <w:r>
        <w:rPr>
          <w:rFonts w:hint="eastAsia" w:ascii="宋体" w:hAnsi="宋体"/>
        </w:rPr>
        <w:t>000元，下浮率为</w:t>
      </w:r>
      <w:r>
        <w:rPr>
          <w:rFonts w:hint="eastAsia" w:ascii="宋体" w:hAnsi="宋体"/>
          <w:u w:val="single"/>
        </w:rPr>
        <w:t>    </w:t>
      </w:r>
      <w:r>
        <w:rPr>
          <w:rFonts w:hint="eastAsia" w:ascii="宋体" w:hAnsi="宋体"/>
        </w:rPr>
        <w:t>%。结算以实际完成的工程量进行审核确定。如结算价高于合同总价，按合同总价结算。</w:t>
      </w:r>
    </w:p>
    <w:p w14:paraId="1D733B79">
      <w:pPr>
        <w:pStyle w:val="6"/>
        <w:spacing w:line="360" w:lineRule="auto"/>
        <w:ind w:firstLine="480" w:firstLineChars="200"/>
        <w:jc w:val="left"/>
        <w:rPr>
          <w:rFonts w:ascii="宋体" w:hAnsi="宋体"/>
        </w:rPr>
      </w:pPr>
      <w:r>
        <w:rPr>
          <w:rFonts w:hint="eastAsia" w:ascii="宋体" w:hAnsi="宋体"/>
        </w:rPr>
        <w:t>5.</w:t>
      </w:r>
      <w:r>
        <w:rPr>
          <w:rFonts w:ascii="宋体" w:hAnsi="宋体"/>
        </w:rPr>
        <w:t>3</w:t>
      </w:r>
      <w:r>
        <w:rPr>
          <w:rFonts w:hint="eastAsia" w:ascii="宋体" w:hAnsi="宋体"/>
        </w:rPr>
        <w:t xml:space="preserve"> 付款方式：</w:t>
      </w:r>
    </w:p>
    <w:p w14:paraId="2E423564">
      <w:pPr>
        <w:pStyle w:val="6"/>
        <w:spacing w:line="360" w:lineRule="auto"/>
        <w:ind w:firstLine="480" w:firstLineChars="200"/>
        <w:jc w:val="left"/>
        <w:rPr>
          <w:rFonts w:ascii="宋体" w:hAnsi="宋体"/>
        </w:rPr>
      </w:pPr>
      <w:r>
        <w:rPr>
          <w:rFonts w:hint="eastAsia" w:ascii="宋体" w:hAnsi="宋体"/>
        </w:rPr>
        <w:t>5.</w:t>
      </w:r>
      <w:r>
        <w:rPr>
          <w:rFonts w:ascii="宋体" w:hAnsi="宋体"/>
        </w:rPr>
        <w:t>3</w:t>
      </w:r>
      <w:r>
        <w:rPr>
          <w:rFonts w:hint="eastAsia" w:ascii="宋体" w:hAnsi="宋体"/>
        </w:rPr>
        <w:t>.1 本项目不设预付款。合同生效后，经双方确认乙方完成检测成果文件达到成交价60%的，乙方可申请成交价款50%的进度款，甲方收到乙方付款票据资后15 个工作日内完成审核并办理支付；检测服务全部完成且工程竣工验收后，乙方提交最终成果报告及完整的结算资料，甲方15 个工作日内完成审核，一次性支付检测费余款。</w:t>
      </w:r>
    </w:p>
    <w:p w14:paraId="73F94E78">
      <w:pPr>
        <w:pStyle w:val="6"/>
        <w:spacing w:line="360" w:lineRule="auto"/>
        <w:ind w:firstLine="480" w:firstLineChars="200"/>
        <w:jc w:val="left"/>
        <w:rPr>
          <w:rFonts w:ascii="宋体" w:hAnsi="宋体"/>
        </w:rPr>
      </w:pPr>
      <w:r>
        <w:rPr>
          <w:rFonts w:hint="eastAsia" w:ascii="宋体" w:hAnsi="宋体"/>
        </w:rPr>
        <w:t>5.</w:t>
      </w:r>
      <w:r>
        <w:rPr>
          <w:rFonts w:ascii="宋体" w:hAnsi="宋体"/>
        </w:rPr>
        <w:t>3</w:t>
      </w:r>
      <w:r>
        <w:rPr>
          <w:rFonts w:hint="eastAsia" w:ascii="宋体" w:hAnsi="宋体"/>
        </w:rPr>
        <w:t>.2 如因施工单位原因，导致需复验或增加检测鉴定量的，由乙方向施工单位要求支付。</w:t>
      </w:r>
    </w:p>
    <w:p w14:paraId="7DC62067">
      <w:pPr>
        <w:pStyle w:val="6"/>
        <w:spacing w:line="360" w:lineRule="auto"/>
        <w:ind w:firstLine="480" w:firstLineChars="200"/>
        <w:jc w:val="left"/>
        <w:rPr>
          <w:rFonts w:ascii="宋体" w:hAnsi="宋体"/>
          <w:color w:val="FF0000"/>
        </w:rPr>
      </w:pPr>
      <w:r>
        <w:rPr>
          <w:rFonts w:hint="eastAsia" w:ascii="宋体" w:hAnsi="宋体"/>
        </w:rPr>
        <w:t>5.</w:t>
      </w:r>
      <w:r>
        <w:rPr>
          <w:rFonts w:ascii="宋体" w:hAnsi="宋体"/>
        </w:rPr>
        <w:t>4</w:t>
      </w:r>
      <w:r>
        <w:rPr>
          <w:rFonts w:hint="eastAsia" w:ascii="宋体" w:hAnsi="宋体"/>
        </w:rPr>
        <w:t xml:space="preserve"> 结算原则：</w:t>
      </w:r>
    </w:p>
    <w:p w14:paraId="40CCDC44">
      <w:pPr>
        <w:pStyle w:val="6"/>
        <w:spacing w:line="360" w:lineRule="auto"/>
        <w:ind w:firstLine="480" w:firstLineChars="200"/>
        <w:jc w:val="left"/>
        <w:rPr>
          <w:rFonts w:ascii="宋体" w:hAnsi="宋体"/>
        </w:rPr>
      </w:pPr>
      <w:r>
        <w:rPr>
          <w:rFonts w:hint="eastAsia" w:ascii="宋体" w:hAnsi="宋体"/>
        </w:rPr>
        <w:t>5</w:t>
      </w:r>
      <w:r>
        <w:rPr>
          <w:rFonts w:ascii="宋体" w:hAnsi="宋体"/>
        </w:rPr>
        <w:t>.4.1</w:t>
      </w:r>
      <w:r>
        <w:rPr>
          <w:rFonts w:hint="eastAsia" w:ascii="宋体" w:hAnsi="宋体"/>
        </w:rPr>
        <w:t>《清单报价表》中已有或相类似的检测内容，结算时按《清单报价表》中的综合单价和实际发生的工程量进行结算。</w:t>
      </w:r>
    </w:p>
    <w:p w14:paraId="2DACE991">
      <w:pPr>
        <w:pStyle w:val="6"/>
        <w:spacing w:line="360" w:lineRule="auto"/>
        <w:ind w:firstLine="480" w:firstLineChars="200"/>
        <w:jc w:val="left"/>
        <w:rPr>
          <w:rFonts w:ascii="宋体" w:hAnsi="宋体"/>
        </w:rPr>
      </w:pPr>
      <w:r>
        <w:rPr>
          <w:rFonts w:hint="eastAsia" w:ascii="宋体" w:hAnsi="宋体"/>
        </w:rPr>
        <w:t>5</w:t>
      </w:r>
      <w:r>
        <w:rPr>
          <w:rFonts w:ascii="宋体" w:hAnsi="宋体"/>
        </w:rPr>
        <w:t>.4.2</w:t>
      </w:r>
      <w:r>
        <w:rPr>
          <w:rFonts w:hint="eastAsia" w:ascii="宋体" w:hAnsi="宋体"/>
        </w:rPr>
        <w:t>《清单报价表》以外的检测内容，结算时单价按照“关于印发《广东省房屋建筑和市政工程质量安全检测收费指导价（第一批）》和《广东省既有房屋建筑安全性鉴定收费指导价》的通知”（粤建检协【2015】8号）对应的指导单价（取低值）及下浮率综合计算（结算单价为：收费指导价（取低值）*（1-下浮率）），工程量按实结算。</w:t>
      </w:r>
    </w:p>
    <w:p w14:paraId="0EA351E0">
      <w:pPr>
        <w:pStyle w:val="6"/>
        <w:spacing w:line="360" w:lineRule="auto"/>
        <w:ind w:firstLine="480" w:firstLineChars="200"/>
        <w:jc w:val="left"/>
        <w:rPr>
          <w:rFonts w:ascii="宋体" w:hAnsi="宋体"/>
        </w:rPr>
      </w:pPr>
      <w:r>
        <w:rPr>
          <w:rFonts w:hint="eastAsia" w:ascii="宋体" w:hAnsi="宋体"/>
        </w:rPr>
        <w:t>5</w:t>
      </w:r>
      <w:r>
        <w:rPr>
          <w:rFonts w:ascii="宋体" w:hAnsi="宋体"/>
        </w:rPr>
        <w:t>.4.3</w:t>
      </w:r>
      <w:r>
        <w:rPr>
          <w:rFonts w:hint="eastAsia" w:ascii="宋体" w:hAnsi="宋体"/>
        </w:rPr>
        <w:t>如遇以上文件都不能涵盖的新增检测内容，则结算单价由双方另行协商确定。</w:t>
      </w:r>
    </w:p>
    <w:p w14:paraId="63B38F29">
      <w:pPr>
        <w:pStyle w:val="6"/>
        <w:spacing w:line="360" w:lineRule="auto"/>
        <w:ind w:firstLine="480" w:firstLineChars="200"/>
        <w:jc w:val="left"/>
        <w:rPr>
          <w:rFonts w:ascii="宋体" w:hAnsi="宋体"/>
        </w:rPr>
      </w:pPr>
      <w:r>
        <w:rPr>
          <w:rFonts w:hint="eastAsia" w:ascii="宋体" w:hAnsi="宋体"/>
        </w:rPr>
        <w:t>5</w:t>
      </w:r>
      <w:r>
        <w:rPr>
          <w:rFonts w:ascii="宋体" w:hAnsi="宋体"/>
        </w:rPr>
        <w:t>.4.4</w:t>
      </w:r>
      <w:r>
        <w:rPr>
          <w:rFonts w:hint="eastAsia" w:ascii="宋体" w:hAnsi="宋体"/>
        </w:rPr>
        <w:t>当《清单报价表》内的工程量增加或检测内容调整必须使用暂列金时，可由双方协商一致，并以书面形式确定，增加的总金额不得超过暂列金，若超过暂列金则按暂列金结算。</w:t>
      </w:r>
    </w:p>
    <w:p w14:paraId="0D9DF51F">
      <w:pPr>
        <w:pStyle w:val="6"/>
        <w:spacing w:line="360" w:lineRule="auto"/>
        <w:ind w:firstLine="480" w:firstLineChars="200"/>
        <w:jc w:val="left"/>
        <w:rPr>
          <w:rFonts w:ascii="宋体" w:hAnsi="宋体"/>
        </w:rPr>
      </w:pPr>
    </w:p>
    <w:p w14:paraId="122D11DD">
      <w:pPr>
        <w:pStyle w:val="6"/>
        <w:spacing w:line="360" w:lineRule="auto"/>
        <w:ind w:firstLine="480" w:firstLineChars="200"/>
        <w:jc w:val="left"/>
        <w:rPr>
          <w:rFonts w:ascii="宋体" w:hAnsi="宋体"/>
        </w:rPr>
      </w:pPr>
      <w:r>
        <w:rPr>
          <w:rFonts w:hint="eastAsia" w:ascii="宋体" w:hAnsi="宋体"/>
        </w:rPr>
        <w:t>第六条 本合同有关本项目技术服务内容的变更必须由双方协商一致，并以书面形式确定。一方可以向另一方提出变更合同权利与义务的请求，另一方应当在</w:t>
      </w:r>
      <w:r>
        <w:rPr>
          <w:rFonts w:hint="eastAsia" w:ascii="宋体" w:hAnsi="宋体"/>
          <w:u w:val="single"/>
        </w:rPr>
        <w:t>10个工作日</w:t>
      </w:r>
      <w:r>
        <w:rPr>
          <w:rFonts w:hint="eastAsia" w:ascii="宋体" w:hAnsi="宋体"/>
        </w:rPr>
        <w:t>内予以答复；逾期未予答复的，视为同意。</w:t>
      </w:r>
    </w:p>
    <w:p w14:paraId="7E63FC29">
      <w:pPr>
        <w:pStyle w:val="13"/>
        <w:ind w:firstLine="0" w:firstLineChars="0"/>
      </w:pPr>
    </w:p>
    <w:p w14:paraId="23B35A5A">
      <w:pPr>
        <w:pStyle w:val="6"/>
        <w:spacing w:line="360" w:lineRule="auto"/>
        <w:ind w:firstLine="480" w:firstLineChars="200"/>
        <w:jc w:val="left"/>
        <w:rPr>
          <w:rFonts w:ascii="宋体" w:hAnsi="宋体"/>
        </w:rPr>
      </w:pPr>
      <w:r>
        <w:rPr>
          <w:rFonts w:hint="eastAsia" w:ascii="宋体" w:hAnsi="宋体"/>
        </w:rPr>
        <w:t xml:space="preserve">第七条 </w:t>
      </w:r>
      <w:r>
        <w:rPr>
          <w:rFonts w:hint="eastAsia" w:ascii="宋体" w:hAnsi="宋体" w:cs="宋体"/>
          <w:bCs/>
        </w:rPr>
        <w:t>违约责任及争议的解决</w:t>
      </w:r>
      <w:r>
        <w:rPr>
          <w:rFonts w:hint="eastAsia" w:ascii="宋体" w:hAnsi="宋体"/>
        </w:rPr>
        <w:t>：</w:t>
      </w:r>
    </w:p>
    <w:p w14:paraId="1289C2E9">
      <w:pPr>
        <w:pStyle w:val="6"/>
        <w:spacing w:line="360" w:lineRule="auto"/>
        <w:ind w:firstLine="480" w:firstLineChars="200"/>
        <w:rPr>
          <w:rFonts w:ascii="宋体" w:hAnsi="宋体"/>
        </w:rPr>
      </w:pPr>
      <w:r>
        <w:rPr>
          <w:rFonts w:hint="eastAsia" w:ascii="宋体" w:hAnsi="宋体"/>
        </w:rPr>
        <w:t>7.1乙方进场后，甲方要求解除合同，甲方按照乙方实际完成工程量计付检测鉴定费给乙方。</w:t>
      </w:r>
    </w:p>
    <w:p w14:paraId="6A26501C">
      <w:pPr>
        <w:pStyle w:val="6"/>
        <w:spacing w:line="360" w:lineRule="auto"/>
        <w:ind w:firstLine="480" w:firstLineChars="200"/>
        <w:rPr>
          <w:rFonts w:ascii="宋体" w:hAnsi="宋体"/>
        </w:rPr>
      </w:pPr>
      <w:r>
        <w:rPr>
          <w:rFonts w:hint="eastAsia" w:ascii="宋体" w:hAnsi="宋体"/>
        </w:rPr>
        <w:t>7.2乙方未按照合同约定时间提交检测鉴定报告，每逾期一天应按合同检测鉴定费用的</w:t>
      </w:r>
      <w:r>
        <w:rPr>
          <w:rFonts w:ascii="宋体" w:hAnsi="宋体"/>
        </w:rPr>
        <w:t xml:space="preserve"> </w:t>
      </w:r>
      <w:r>
        <w:rPr>
          <w:rFonts w:hint="eastAsia" w:ascii="宋体" w:hAnsi="宋体"/>
        </w:rPr>
        <w:t>0.2</w:t>
      </w:r>
      <w:r>
        <w:rPr>
          <w:rFonts w:ascii="宋体" w:hAnsi="宋体"/>
        </w:rPr>
        <w:t xml:space="preserve"> %</w:t>
      </w:r>
      <w:r>
        <w:rPr>
          <w:rFonts w:hint="eastAsia" w:ascii="宋体" w:hAnsi="宋体"/>
        </w:rPr>
        <w:t xml:space="preserve">向甲方支付违约金，迟延超过15天的，甲方有权解除合同，并且要求乙方承担本合同检测费用 20 </w:t>
      </w:r>
      <w:r>
        <w:rPr>
          <w:rFonts w:ascii="宋体" w:hAnsi="宋体"/>
        </w:rPr>
        <w:t>%</w:t>
      </w:r>
      <w:r>
        <w:rPr>
          <w:rFonts w:hint="eastAsia" w:ascii="宋体" w:hAnsi="宋体"/>
        </w:rPr>
        <w:t>的违约金。</w:t>
      </w:r>
    </w:p>
    <w:p w14:paraId="559F1CEA">
      <w:pPr>
        <w:pStyle w:val="6"/>
        <w:spacing w:line="360" w:lineRule="auto"/>
        <w:ind w:firstLine="480" w:firstLineChars="200"/>
        <w:rPr>
          <w:rFonts w:ascii="宋体" w:hAnsi="宋体"/>
        </w:rPr>
      </w:pPr>
      <w:r>
        <w:rPr>
          <w:rFonts w:hint="eastAsia" w:ascii="宋体" w:hAnsi="宋体"/>
        </w:rPr>
        <w:t>7.3检测报告信息错误、未按照约定检测依据进行检测或者检测结论判断错误的，乙方应进行更正或免费重新进行检测，给甲方造成损失的应予以赔偿，因甲方原因造成上述错误的除外。</w:t>
      </w:r>
    </w:p>
    <w:p w14:paraId="461C675C">
      <w:pPr>
        <w:pStyle w:val="6"/>
        <w:spacing w:line="360" w:lineRule="auto"/>
        <w:ind w:firstLine="480" w:firstLineChars="200"/>
        <w:rPr>
          <w:rFonts w:ascii="宋体" w:hAnsi="宋体"/>
        </w:rPr>
      </w:pPr>
      <w:r>
        <w:rPr>
          <w:rFonts w:hint="eastAsia" w:ascii="宋体" w:hAnsi="宋体"/>
        </w:rPr>
        <w:t xml:space="preserve">7.4由于乙方的检测鉴定工作不及时或测量资料不准确或分析、报告不及时而导致事故发生，给甲方造成损失的，乙方除赔偿甲方损失外，须向甲方支付本合同检测鉴定费用 20 </w:t>
      </w:r>
      <w:r>
        <w:rPr>
          <w:rFonts w:ascii="宋体" w:hAnsi="宋体"/>
        </w:rPr>
        <w:t>%</w:t>
      </w:r>
      <w:r>
        <w:rPr>
          <w:rFonts w:hint="eastAsia" w:ascii="宋体" w:hAnsi="宋体"/>
        </w:rPr>
        <w:t>的违约金并退回全部检测鉴定费。</w:t>
      </w:r>
    </w:p>
    <w:p w14:paraId="33D7616A">
      <w:pPr>
        <w:pStyle w:val="6"/>
        <w:spacing w:line="360" w:lineRule="auto"/>
        <w:ind w:firstLine="480" w:firstLineChars="200"/>
        <w:rPr>
          <w:rFonts w:ascii="宋体" w:hAnsi="宋体"/>
        </w:rPr>
      </w:pPr>
      <w:r>
        <w:rPr>
          <w:rFonts w:hint="eastAsia" w:ascii="宋体" w:hAnsi="宋体"/>
        </w:rPr>
        <w:t xml:space="preserve">7.5乙方擅自分包或者转包项目的，甲方有权单方解除合同，并要求乙方承担本合同检测鉴定费用20 </w:t>
      </w:r>
      <w:r>
        <w:rPr>
          <w:rFonts w:ascii="宋体" w:hAnsi="宋体"/>
        </w:rPr>
        <w:t>%</w:t>
      </w:r>
      <w:r>
        <w:rPr>
          <w:rFonts w:hint="eastAsia" w:ascii="宋体" w:hAnsi="宋体"/>
        </w:rPr>
        <w:t>的违约金，若因此造成甲方损失还须赔偿相关损失。</w:t>
      </w:r>
    </w:p>
    <w:p w14:paraId="0576045E">
      <w:pPr>
        <w:pStyle w:val="6"/>
        <w:spacing w:line="360" w:lineRule="auto"/>
        <w:ind w:firstLine="480" w:firstLineChars="200"/>
        <w:rPr>
          <w:rFonts w:ascii="宋体" w:hAnsi="宋体"/>
        </w:rPr>
      </w:pPr>
      <w:r>
        <w:rPr>
          <w:rFonts w:hint="eastAsia" w:ascii="宋体" w:hAnsi="宋体"/>
        </w:rPr>
        <w:t xml:space="preserve">7.6发现乙方人员与施工单位串通，对不合格工程出具合格检测鉴定报告或结论，乙方应承担违约责任，甲方有权单方解除合同，并要求乙方承担本合同检测鉴定费用20 </w:t>
      </w:r>
      <w:r>
        <w:rPr>
          <w:rFonts w:ascii="宋体" w:hAnsi="宋体"/>
        </w:rPr>
        <w:t>%</w:t>
      </w:r>
      <w:r>
        <w:rPr>
          <w:rFonts w:hint="eastAsia" w:ascii="宋体" w:hAnsi="宋体"/>
        </w:rPr>
        <w:t>的违约金，若因此造成甲方损失还须赔偿相关损失并退回全部检测鉴定费</w:t>
      </w:r>
    </w:p>
    <w:p w14:paraId="04CA10D9">
      <w:pPr>
        <w:pStyle w:val="6"/>
        <w:spacing w:line="360" w:lineRule="auto"/>
        <w:ind w:firstLine="480" w:firstLineChars="200"/>
        <w:rPr>
          <w:rFonts w:ascii="宋体" w:hAnsi="宋体"/>
        </w:rPr>
      </w:pPr>
      <w:r>
        <w:rPr>
          <w:rFonts w:hint="eastAsia" w:ascii="宋体" w:hAnsi="宋体"/>
        </w:rPr>
        <w:t>7.7本合同发生争议，双方当事人应及时协商解决。协商不成，由当地建设行政主管部门调解，调解不成时，双方当事人同意由广州仲裁委员会仲裁，并由败诉方承担胜诉方所支付的律师费。</w:t>
      </w:r>
    </w:p>
    <w:p w14:paraId="2065E25A">
      <w:pPr>
        <w:pStyle w:val="6"/>
        <w:spacing w:line="360" w:lineRule="auto"/>
        <w:ind w:firstLine="480" w:firstLineChars="200"/>
        <w:jc w:val="left"/>
        <w:rPr>
          <w:rFonts w:ascii="宋体" w:hAnsi="宋体"/>
        </w:rPr>
      </w:pPr>
    </w:p>
    <w:p w14:paraId="0B0F6387">
      <w:pPr>
        <w:pStyle w:val="6"/>
        <w:spacing w:line="360" w:lineRule="auto"/>
        <w:ind w:firstLine="360" w:firstLineChars="150"/>
        <w:jc w:val="left"/>
        <w:rPr>
          <w:rFonts w:ascii="宋体" w:hAnsi="宋体"/>
        </w:rPr>
      </w:pPr>
      <w:r>
        <w:rPr>
          <w:rFonts w:hint="eastAsia" w:ascii="宋体" w:hAnsi="宋体"/>
        </w:rPr>
        <w:t>第八条  双方确定，在本合同有效期内，甲方指定</w:t>
      </w:r>
      <w:r>
        <w:rPr>
          <w:rFonts w:hint="eastAsia" w:ascii="宋体" w:hAnsi="宋体"/>
          <w:u w:val="single"/>
        </w:rPr>
        <w:t xml:space="preserve">   </w:t>
      </w:r>
      <w:r>
        <w:rPr>
          <w:rFonts w:hint="eastAsia" w:ascii="宋体" w:hAnsi="宋体"/>
        </w:rPr>
        <w:t>为甲方项目联系人，联系电话为</w:t>
      </w:r>
      <w:r>
        <w:rPr>
          <w:rFonts w:hint="eastAsia" w:ascii="宋体" w:hAnsi="宋体"/>
          <w:u w:val="single"/>
        </w:rPr>
        <w:t xml:space="preserve">          ；</w:t>
      </w:r>
      <w:r>
        <w:rPr>
          <w:rFonts w:hint="eastAsia" w:ascii="宋体" w:hAnsi="宋体"/>
        </w:rPr>
        <w:t>乙方指定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为乙方项目负责人，联系电话为</w:t>
      </w:r>
      <w:r>
        <w:rPr>
          <w:rFonts w:hint="eastAsia" w:ascii="宋体" w:hAnsi="宋体"/>
          <w:u w:val="single"/>
        </w:rPr>
        <w:t xml:space="preserve">          </w:t>
      </w:r>
      <w:r>
        <w:rPr>
          <w:rFonts w:hint="eastAsia" w:ascii="宋体" w:hAnsi="宋体"/>
        </w:rPr>
        <w:t>。</w:t>
      </w:r>
    </w:p>
    <w:p w14:paraId="70B6A2CD">
      <w:pPr>
        <w:pStyle w:val="6"/>
        <w:spacing w:line="360" w:lineRule="auto"/>
        <w:ind w:firstLine="480" w:firstLineChars="200"/>
        <w:jc w:val="left"/>
        <w:rPr>
          <w:rFonts w:ascii="宋体" w:hAnsi="宋体"/>
        </w:rPr>
      </w:pPr>
    </w:p>
    <w:p w14:paraId="2689848C">
      <w:pPr>
        <w:pStyle w:val="6"/>
        <w:spacing w:line="360" w:lineRule="auto"/>
        <w:ind w:firstLine="480" w:firstLineChars="200"/>
        <w:jc w:val="left"/>
        <w:rPr>
          <w:rFonts w:ascii="宋体" w:hAnsi="宋体"/>
        </w:rPr>
      </w:pPr>
      <w:r>
        <w:rPr>
          <w:rFonts w:hint="eastAsia" w:ascii="宋体" w:hAnsi="宋体"/>
        </w:rPr>
        <w:t>第九条  双方确定，出现下列情形，致使本合同的履行成为不必要或不可能的，可以解除本合同：</w:t>
      </w:r>
    </w:p>
    <w:p w14:paraId="5154C620">
      <w:pPr>
        <w:pStyle w:val="6"/>
        <w:spacing w:line="360" w:lineRule="auto"/>
        <w:ind w:firstLine="480" w:firstLineChars="200"/>
        <w:jc w:val="left"/>
        <w:rPr>
          <w:rFonts w:ascii="宋体" w:hAnsi="宋体"/>
        </w:rPr>
      </w:pPr>
      <w:r>
        <w:rPr>
          <w:rFonts w:hint="eastAsia" w:ascii="宋体" w:hAnsi="宋体"/>
        </w:rPr>
        <w:t>（1）发生不可抗力；</w:t>
      </w:r>
    </w:p>
    <w:p w14:paraId="14080AA0">
      <w:pPr>
        <w:pStyle w:val="6"/>
        <w:tabs>
          <w:tab w:val="left" w:pos="700"/>
        </w:tabs>
        <w:spacing w:line="360" w:lineRule="auto"/>
        <w:ind w:firstLine="480" w:firstLineChars="200"/>
        <w:jc w:val="left"/>
        <w:rPr>
          <w:rFonts w:ascii="宋体" w:hAnsi="宋体"/>
        </w:rPr>
      </w:pPr>
      <w:r>
        <w:rPr>
          <w:rFonts w:hint="eastAsia" w:ascii="宋体" w:hAnsi="宋体"/>
        </w:rPr>
        <w:t>（2）经双方同意。</w:t>
      </w:r>
    </w:p>
    <w:p w14:paraId="4705B6DC">
      <w:pPr>
        <w:pStyle w:val="6"/>
        <w:tabs>
          <w:tab w:val="left" w:pos="700"/>
        </w:tabs>
        <w:spacing w:line="360" w:lineRule="auto"/>
        <w:ind w:firstLine="480" w:firstLineChars="200"/>
        <w:jc w:val="left"/>
        <w:rPr>
          <w:rFonts w:ascii="宋体" w:hAnsi="宋体"/>
        </w:rPr>
      </w:pPr>
    </w:p>
    <w:p w14:paraId="5CFCDE21">
      <w:pPr>
        <w:pStyle w:val="6"/>
        <w:tabs>
          <w:tab w:val="left" w:pos="700"/>
        </w:tabs>
        <w:spacing w:line="360" w:lineRule="auto"/>
        <w:ind w:firstLine="480" w:firstLineChars="200"/>
        <w:jc w:val="left"/>
        <w:rPr>
          <w:rFonts w:ascii="宋体" w:hAnsi="宋体"/>
        </w:rPr>
      </w:pPr>
      <w:r>
        <w:rPr>
          <w:rFonts w:hint="eastAsia" w:ascii="宋体" w:hAnsi="宋体"/>
          <w:bCs/>
        </w:rPr>
        <w:t xml:space="preserve">第十条 </w:t>
      </w:r>
      <w:r>
        <w:rPr>
          <w:rFonts w:hint="eastAsia" w:ascii="宋体" w:hAnsi="宋体"/>
        </w:rPr>
        <w:t>组成本合同的文件</w:t>
      </w:r>
    </w:p>
    <w:p w14:paraId="79845E4C">
      <w:pPr>
        <w:pStyle w:val="6"/>
        <w:tabs>
          <w:tab w:val="left" w:pos="700"/>
        </w:tabs>
        <w:spacing w:line="360" w:lineRule="auto"/>
        <w:ind w:firstLine="480" w:firstLineChars="200"/>
        <w:jc w:val="left"/>
        <w:rPr>
          <w:rFonts w:ascii="宋体" w:hAnsi="宋体"/>
        </w:rPr>
      </w:pPr>
      <w:r>
        <w:rPr>
          <w:rFonts w:hint="eastAsia" w:ascii="宋体" w:hAnsi="宋体"/>
        </w:rPr>
        <w:t>下列文件应被认为是组成本合同的一部分，并互为补充和解释，如各文件存在冲突之处，以如下排列次序在前者优先适用：</w:t>
      </w:r>
    </w:p>
    <w:p w14:paraId="47E14984">
      <w:pPr>
        <w:pStyle w:val="6"/>
        <w:tabs>
          <w:tab w:val="left" w:pos="700"/>
        </w:tabs>
        <w:spacing w:line="360" w:lineRule="auto"/>
        <w:ind w:firstLine="480" w:firstLineChars="200"/>
        <w:jc w:val="left"/>
        <w:rPr>
          <w:rFonts w:ascii="宋体" w:hAnsi="宋体"/>
        </w:rPr>
      </w:pPr>
      <w:r>
        <w:rPr>
          <w:rFonts w:hint="eastAsia" w:ascii="宋体" w:hAnsi="宋体"/>
        </w:rPr>
        <w:t>（一）本合同履行期间签订的补充合同（协议）或修正文件；</w:t>
      </w:r>
    </w:p>
    <w:p w14:paraId="667E4B1B">
      <w:pPr>
        <w:pStyle w:val="6"/>
        <w:tabs>
          <w:tab w:val="left" w:pos="700"/>
        </w:tabs>
        <w:spacing w:line="360" w:lineRule="auto"/>
        <w:ind w:firstLine="480" w:firstLineChars="200"/>
        <w:jc w:val="left"/>
        <w:rPr>
          <w:rFonts w:ascii="宋体" w:hAnsi="宋体"/>
        </w:rPr>
      </w:pPr>
      <w:r>
        <w:rPr>
          <w:rFonts w:hint="eastAsia" w:ascii="宋体" w:hAnsi="宋体"/>
        </w:rPr>
        <w:t>（二）本合同书；</w:t>
      </w:r>
    </w:p>
    <w:p w14:paraId="1F1C9371">
      <w:pPr>
        <w:pStyle w:val="6"/>
        <w:tabs>
          <w:tab w:val="left" w:pos="700"/>
        </w:tabs>
        <w:spacing w:line="360" w:lineRule="auto"/>
        <w:ind w:firstLine="480" w:firstLineChars="200"/>
        <w:jc w:val="left"/>
        <w:rPr>
          <w:rFonts w:ascii="宋体" w:hAnsi="宋体"/>
        </w:rPr>
      </w:pPr>
      <w:r>
        <w:rPr>
          <w:rFonts w:hint="eastAsia" w:ascii="宋体" w:hAnsi="宋体"/>
        </w:rPr>
        <w:t>（三）合同附件；</w:t>
      </w:r>
    </w:p>
    <w:p w14:paraId="4E56B1F9">
      <w:pPr>
        <w:pStyle w:val="6"/>
        <w:tabs>
          <w:tab w:val="left" w:pos="700"/>
        </w:tabs>
        <w:spacing w:line="360" w:lineRule="auto"/>
        <w:ind w:firstLine="480" w:firstLineChars="200"/>
        <w:jc w:val="left"/>
        <w:rPr>
          <w:rFonts w:ascii="宋体" w:hAnsi="宋体"/>
        </w:rPr>
      </w:pPr>
      <w:r>
        <w:rPr>
          <w:rFonts w:hint="eastAsia" w:ascii="宋体" w:hAnsi="宋体"/>
        </w:rPr>
        <w:t>（四）采购文件及附件；</w:t>
      </w:r>
    </w:p>
    <w:p w14:paraId="018E4510">
      <w:pPr>
        <w:pStyle w:val="6"/>
        <w:tabs>
          <w:tab w:val="left" w:pos="700"/>
        </w:tabs>
        <w:spacing w:line="360" w:lineRule="auto"/>
        <w:ind w:firstLine="480" w:firstLineChars="200"/>
        <w:jc w:val="left"/>
        <w:rPr>
          <w:rFonts w:ascii="宋体" w:hAnsi="宋体"/>
        </w:rPr>
      </w:pPr>
      <w:r>
        <w:rPr>
          <w:rFonts w:hint="eastAsia" w:ascii="宋体" w:hAnsi="宋体"/>
        </w:rPr>
        <w:t>（五）乙方报价文件及其附件；</w:t>
      </w:r>
    </w:p>
    <w:p w14:paraId="69518372">
      <w:pPr>
        <w:pStyle w:val="6"/>
        <w:tabs>
          <w:tab w:val="left" w:pos="700"/>
        </w:tabs>
        <w:spacing w:line="360" w:lineRule="auto"/>
        <w:ind w:firstLine="480" w:firstLineChars="200"/>
        <w:jc w:val="left"/>
        <w:rPr>
          <w:rFonts w:ascii="宋体" w:hAnsi="宋体"/>
        </w:rPr>
      </w:pPr>
      <w:r>
        <w:rPr>
          <w:rFonts w:hint="eastAsia" w:ascii="宋体" w:hAnsi="宋体"/>
        </w:rPr>
        <w:t>（六）国家及广东省、广州市的标准、规范及有关技术文件；</w:t>
      </w:r>
    </w:p>
    <w:p w14:paraId="754CEF0B">
      <w:pPr>
        <w:pStyle w:val="6"/>
        <w:tabs>
          <w:tab w:val="left" w:pos="700"/>
        </w:tabs>
        <w:spacing w:line="360" w:lineRule="auto"/>
        <w:ind w:firstLine="480" w:firstLineChars="200"/>
        <w:jc w:val="left"/>
        <w:rPr>
          <w:rFonts w:ascii="宋体" w:hAnsi="宋体"/>
        </w:rPr>
      </w:pPr>
      <w:r>
        <w:rPr>
          <w:rFonts w:hint="eastAsia" w:ascii="宋体" w:hAnsi="宋体"/>
        </w:rPr>
        <w:t>（七）组成合同的其他文件。</w:t>
      </w:r>
    </w:p>
    <w:p w14:paraId="6986701A">
      <w:pPr>
        <w:pStyle w:val="6"/>
        <w:tabs>
          <w:tab w:val="left" w:pos="700"/>
        </w:tabs>
        <w:spacing w:line="360" w:lineRule="auto"/>
        <w:ind w:firstLine="480" w:firstLineChars="200"/>
        <w:jc w:val="left"/>
        <w:rPr>
          <w:rFonts w:ascii="宋体" w:hAnsi="宋体"/>
        </w:rPr>
      </w:pPr>
    </w:p>
    <w:p w14:paraId="5B98299D">
      <w:pPr>
        <w:pStyle w:val="6"/>
        <w:spacing w:line="360" w:lineRule="auto"/>
        <w:ind w:firstLine="480" w:firstLineChars="200"/>
        <w:jc w:val="left"/>
        <w:rPr>
          <w:rFonts w:ascii="宋体" w:hAnsi="宋体"/>
        </w:rPr>
      </w:pPr>
      <w:r>
        <w:rPr>
          <w:rFonts w:hint="eastAsia" w:ascii="宋体" w:hAnsi="宋体"/>
        </w:rPr>
        <w:t>第十一条  双方约定本合同其他相关事项为：</w:t>
      </w:r>
    </w:p>
    <w:p w14:paraId="09064813">
      <w:pPr>
        <w:spacing w:line="360" w:lineRule="auto"/>
        <w:ind w:firstLine="480" w:firstLineChars="200"/>
        <w:rPr>
          <w:rFonts w:ascii="宋体" w:hAnsi="宋体"/>
          <w:sz w:val="24"/>
        </w:rPr>
      </w:pPr>
      <w:r>
        <w:rPr>
          <w:rFonts w:hint="eastAsia" w:ascii="宋体" w:hAnsi="宋体"/>
          <w:sz w:val="24"/>
        </w:rPr>
        <w:t>11.1合同一式</w:t>
      </w:r>
      <w:r>
        <w:rPr>
          <w:rFonts w:hint="eastAsia" w:ascii="宋体" w:hAnsi="宋体"/>
          <w:sz w:val="24"/>
          <w:u w:val="single"/>
        </w:rPr>
        <w:t>陆</w:t>
      </w:r>
      <w:r>
        <w:rPr>
          <w:rFonts w:hint="eastAsia" w:ascii="宋体" w:hAnsi="宋体"/>
          <w:sz w:val="24"/>
        </w:rPr>
        <w:t>份，甲方执肆份，乙方执贰份，在双方签字盖章后生效。</w:t>
      </w:r>
    </w:p>
    <w:p w14:paraId="26E5A913">
      <w:pPr>
        <w:spacing w:line="360" w:lineRule="auto"/>
        <w:ind w:firstLine="480" w:firstLineChars="200"/>
        <w:rPr>
          <w:rFonts w:ascii="宋体" w:hAnsi="宋体"/>
          <w:sz w:val="24"/>
        </w:rPr>
      </w:pPr>
      <w:r>
        <w:rPr>
          <w:rFonts w:hint="eastAsia" w:ascii="宋体" w:hAnsi="宋体"/>
          <w:sz w:val="24"/>
        </w:rPr>
        <w:t>11.2本合同未尽事宜，由双方协商签订补充协议。</w:t>
      </w:r>
    </w:p>
    <w:p w14:paraId="1DE84156">
      <w:pPr>
        <w:spacing w:line="360" w:lineRule="auto"/>
        <w:ind w:firstLine="480" w:firstLineChars="200"/>
        <w:rPr>
          <w:rFonts w:ascii="宋体" w:hAnsi="宋体"/>
          <w:sz w:val="24"/>
        </w:rPr>
      </w:pPr>
      <w:r>
        <w:rPr>
          <w:rFonts w:hint="eastAsia" w:ascii="宋体" w:hAnsi="宋体"/>
          <w:sz w:val="24"/>
        </w:rPr>
        <w:t>11.3本合同经双方签字盖章后生效。双方履行完合同的义务并结算清全部检测鉴定费用后，本合同即终止。</w:t>
      </w:r>
    </w:p>
    <w:p w14:paraId="0AD7634C">
      <w:pPr>
        <w:spacing w:line="360" w:lineRule="auto"/>
        <w:ind w:firstLine="480" w:firstLineChars="200"/>
        <w:rPr>
          <w:rFonts w:ascii="宋体" w:hAnsi="宋体"/>
          <w:sz w:val="24"/>
        </w:rPr>
      </w:pPr>
      <w:r>
        <w:rPr>
          <w:rFonts w:hint="eastAsia" w:ascii="宋体" w:hAnsi="宋体"/>
          <w:sz w:val="24"/>
        </w:rPr>
        <w:t>以下无正文</w:t>
      </w:r>
    </w:p>
    <w:p w14:paraId="3E708E65">
      <w:pPr>
        <w:pStyle w:val="12"/>
        <w:spacing w:before="0" w:beforeAutospacing="0" w:after="0" w:afterAutospacing="0" w:line="15" w:lineRule="atLeast"/>
        <w:rPr>
          <w:color w:val="000000"/>
          <w:sz w:val="23"/>
          <w:szCs w:val="23"/>
        </w:rPr>
      </w:pPr>
    </w:p>
    <w:p w14:paraId="662F2D89">
      <w:pPr>
        <w:pStyle w:val="12"/>
        <w:spacing w:before="0" w:beforeAutospacing="0" w:after="0" w:afterAutospacing="0" w:line="15" w:lineRule="atLeast"/>
        <w:rPr>
          <w:color w:val="000000"/>
          <w:sz w:val="23"/>
          <w:szCs w:val="23"/>
        </w:rPr>
      </w:pPr>
    </w:p>
    <w:p w14:paraId="13A94862">
      <w:pPr>
        <w:pStyle w:val="12"/>
        <w:spacing w:before="0" w:beforeAutospacing="0" w:after="0" w:afterAutospacing="0" w:line="15" w:lineRule="atLeast"/>
        <w:rPr>
          <w:color w:val="000000"/>
          <w:sz w:val="23"/>
          <w:szCs w:val="23"/>
        </w:rPr>
      </w:pPr>
    </w:p>
    <w:p w14:paraId="26D963A4">
      <w:pPr>
        <w:pStyle w:val="12"/>
        <w:spacing w:before="0" w:beforeAutospacing="0" w:after="0" w:afterAutospacing="0" w:line="15" w:lineRule="atLeast"/>
        <w:rPr>
          <w:rFonts w:hint="eastAsia"/>
          <w:color w:val="000000"/>
          <w:sz w:val="23"/>
          <w:szCs w:val="23"/>
        </w:rPr>
      </w:pPr>
    </w:p>
    <w:p w14:paraId="7DB1CD4E">
      <w:pPr>
        <w:pStyle w:val="12"/>
        <w:spacing w:before="0" w:beforeAutospacing="0" w:after="0" w:afterAutospacing="0" w:line="480" w:lineRule="auto"/>
      </w:pPr>
      <w:r>
        <w:rPr>
          <w:rFonts w:hint="eastAsia"/>
          <w:color w:val="000000"/>
          <w:sz w:val="23"/>
          <w:szCs w:val="23"/>
        </w:rPr>
        <w:t>委托单位（甲方）：广州大学    </w:t>
      </w:r>
      <w:r>
        <w:rPr>
          <w:color w:val="000000"/>
          <w:sz w:val="23"/>
          <w:szCs w:val="23"/>
        </w:rPr>
        <w:t xml:space="preserve"> </w:t>
      </w:r>
      <w:r>
        <w:rPr>
          <w:rFonts w:hint="eastAsia"/>
          <w:color w:val="000000"/>
          <w:sz w:val="23"/>
          <w:szCs w:val="23"/>
        </w:rPr>
        <w:t>     </w:t>
      </w:r>
      <w:r>
        <w:rPr>
          <w:color w:val="000000"/>
          <w:sz w:val="23"/>
          <w:szCs w:val="23"/>
        </w:rPr>
        <w:t xml:space="preserve"> </w:t>
      </w:r>
      <w:r>
        <w:rPr>
          <w:rFonts w:hint="eastAsia"/>
          <w:color w:val="000000"/>
          <w:sz w:val="23"/>
          <w:szCs w:val="23"/>
        </w:rPr>
        <w:t> </w:t>
      </w:r>
      <w:r>
        <w:rPr>
          <w:color w:val="000000"/>
          <w:sz w:val="23"/>
          <w:szCs w:val="23"/>
        </w:rPr>
        <w:t xml:space="preserve"> </w:t>
      </w:r>
      <w:r>
        <w:rPr>
          <w:rFonts w:hint="eastAsia"/>
          <w:color w:val="000000"/>
          <w:sz w:val="23"/>
          <w:szCs w:val="23"/>
        </w:rPr>
        <w:t xml:space="preserve">受托单位（乙方）：  </w:t>
      </w:r>
    </w:p>
    <w:p w14:paraId="3E4590ED">
      <w:pPr>
        <w:pStyle w:val="12"/>
        <w:spacing w:before="0" w:beforeAutospacing="0" w:after="0" w:afterAutospacing="0" w:line="480" w:lineRule="auto"/>
        <w:rPr>
          <w:color w:val="000000"/>
          <w:sz w:val="23"/>
          <w:szCs w:val="23"/>
        </w:rPr>
      </w:pPr>
      <w:r>
        <w:rPr>
          <w:rFonts w:hint="eastAsia"/>
          <w:color w:val="000000"/>
          <w:sz w:val="23"/>
          <w:szCs w:val="23"/>
        </w:rPr>
        <w:t>地址：广州市番禺区大学城外环西路230号</w:t>
      </w:r>
      <w:r>
        <w:rPr>
          <w:color w:val="000000"/>
          <w:sz w:val="23"/>
          <w:szCs w:val="23"/>
        </w:rPr>
        <w:t xml:space="preserve"> </w:t>
      </w:r>
      <w:r>
        <w:rPr>
          <w:rFonts w:hint="eastAsia"/>
          <w:color w:val="000000"/>
          <w:sz w:val="23"/>
          <w:szCs w:val="23"/>
        </w:rPr>
        <w:t xml:space="preserve">          地址：</w:t>
      </w:r>
    </w:p>
    <w:p w14:paraId="2BA0C851">
      <w:pPr>
        <w:pStyle w:val="12"/>
        <w:spacing w:before="0" w:beforeAutospacing="0" w:after="0" w:afterAutospacing="0" w:line="480" w:lineRule="auto"/>
        <w:rPr>
          <w:color w:val="000000"/>
          <w:sz w:val="23"/>
          <w:szCs w:val="23"/>
        </w:rPr>
      </w:pPr>
      <w:r>
        <w:rPr>
          <w:rFonts w:hint="eastAsia"/>
          <w:color w:val="000000"/>
          <w:sz w:val="23"/>
          <w:szCs w:val="23"/>
        </w:rPr>
        <w:t xml:space="preserve">法定代表人：                   法定代表人： </w:t>
      </w:r>
    </w:p>
    <w:p w14:paraId="2779E3CE">
      <w:pPr>
        <w:pStyle w:val="12"/>
        <w:spacing w:before="0" w:beforeAutospacing="0" w:after="0" w:afterAutospacing="0" w:line="480" w:lineRule="auto"/>
        <w:rPr>
          <w:color w:val="000000"/>
          <w:sz w:val="23"/>
          <w:szCs w:val="23"/>
        </w:rPr>
      </w:pPr>
      <w:r>
        <w:rPr>
          <w:rFonts w:hint="eastAsia"/>
          <w:color w:val="000000"/>
          <w:sz w:val="23"/>
          <w:szCs w:val="23"/>
        </w:rPr>
        <w:t xml:space="preserve">委托代理人：                   委托代理人： </w:t>
      </w:r>
    </w:p>
    <w:p w14:paraId="6A0519BC">
      <w:pPr>
        <w:pStyle w:val="12"/>
        <w:spacing w:before="0" w:beforeAutospacing="0" w:after="0" w:afterAutospacing="0" w:line="480" w:lineRule="auto"/>
        <w:rPr>
          <w:color w:val="000000"/>
          <w:sz w:val="23"/>
          <w:szCs w:val="23"/>
        </w:rPr>
      </w:pPr>
      <w:r>
        <w:rPr>
          <w:rFonts w:hint="eastAsia"/>
          <w:color w:val="000000"/>
          <w:sz w:val="23"/>
          <w:szCs w:val="23"/>
        </w:rPr>
        <w:t>经办人：                     经办人：</w:t>
      </w:r>
    </w:p>
    <w:p w14:paraId="4193BF90">
      <w:pPr>
        <w:pStyle w:val="12"/>
        <w:spacing w:before="0" w:beforeAutospacing="0" w:after="0" w:afterAutospacing="0" w:line="480" w:lineRule="auto"/>
        <w:rPr>
          <w:color w:val="000000"/>
          <w:sz w:val="23"/>
          <w:szCs w:val="23"/>
        </w:rPr>
      </w:pPr>
      <w:r>
        <w:rPr>
          <w:rFonts w:hint="eastAsia"/>
          <w:color w:val="000000"/>
          <w:sz w:val="23"/>
          <w:szCs w:val="23"/>
        </w:rPr>
        <w:t xml:space="preserve">电话：020-39366175                电 话： </w:t>
      </w:r>
    </w:p>
    <w:p w14:paraId="435E283E">
      <w:pPr>
        <w:pStyle w:val="12"/>
        <w:spacing w:before="0" w:beforeAutospacing="0" w:after="0" w:afterAutospacing="0" w:line="480" w:lineRule="auto"/>
        <w:rPr>
          <w:color w:val="000000"/>
          <w:sz w:val="23"/>
          <w:szCs w:val="23"/>
        </w:rPr>
      </w:pPr>
      <w:r>
        <w:rPr>
          <w:rFonts w:hint="eastAsia"/>
          <w:color w:val="000000"/>
          <w:sz w:val="23"/>
          <w:szCs w:val="23"/>
        </w:rPr>
        <w:t>开户银行：工商银行广州大学城中环支行         开户银行：</w:t>
      </w:r>
    </w:p>
    <w:p w14:paraId="73728118">
      <w:pPr>
        <w:pStyle w:val="12"/>
        <w:spacing w:before="0" w:beforeAutospacing="0" w:after="0" w:afterAutospacing="0" w:line="480" w:lineRule="auto"/>
        <w:rPr>
          <w:color w:val="000000"/>
          <w:sz w:val="23"/>
          <w:szCs w:val="23"/>
        </w:rPr>
      </w:pPr>
      <w:r>
        <w:rPr>
          <w:rFonts w:hint="eastAsia"/>
          <w:color w:val="000000"/>
          <w:sz w:val="23"/>
          <w:szCs w:val="23"/>
        </w:rPr>
        <w:t>帐 号：3602 1148 1910 000 0192      </w:t>
      </w:r>
      <w:r>
        <w:rPr>
          <w:color w:val="000000"/>
          <w:sz w:val="23"/>
          <w:szCs w:val="23"/>
        </w:rPr>
        <w:t xml:space="preserve">    </w:t>
      </w:r>
      <w:r>
        <w:rPr>
          <w:rFonts w:hint="eastAsia"/>
          <w:color w:val="000000"/>
          <w:sz w:val="23"/>
          <w:szCs w:val="23"/>
        </w:rPr>
        <w:t xml:space="preserve">  帐 号：   </w:t>
      </w:r>
    </w:p>
    <w:p w14:paraId="07E759F7">
      <w:pPr>
        <w:pStyle w:val="12"/>
        <w:spacing w:before="0" w:beforeAutospacing="0" w:after="0" w:afterAutospacing="0" w:line="480" w:lineRule="auto"/>
        <w:rPr>
          <w:color w:val="000000"/>
          <w:sz w:val="23"/>
          <w:szCs w:val="23"/>
        </w:rPr>
      </w:pPr>
      <w:r>
        <w:rPr>
          <w:rFonts w:hint="eastAsia"/>
          <w:color w:val="000000"/>
          <w:sz w:val="23"/>
          <w:szCs w:val="23"/>
        </w:rPr>
        <w:t>邮政编码：510006              </w:t>
      </w:r>
      <w:r>
        <w:rPr>
          <w:color w:val="000000"/>
          <w:sz w:val="23"/>
          <w:szCs w:val="23"/>
        </w:rPr>
        <w:t xml:space="preserve">      </w:t>
      </w:r>
      <w:r>
        <w:rPr>
          <w:rFonts w:hint="eastAsia"/>
          <w:color w:val="000000"/>
          <w:sz w:val="23"/>
          <w:szCs w:val="23"/>
        </w:rPr>
        <w:t xml:space="preserve">邮政编码：  </w:t>
      </w:r>
    </w:p>
    <w:p w14:paraId="475CFC5B">
      <w:pPr>
        <w:pStyle w:val="12"/>
        <w:spacing w:before="0" w:beforeAutospacing="0" w:after="0" w:afterAutospacing="0" w:line="480" w:lineRule="auto"/>
        <w:rPr>
          <w:rFonts w:hint="eastAsia" w:hAnsi="宋体" w:cs="Courier New" w:asciiTheme="minorHAnsi" w:eastAsiaTheme="minorEastAsia"/>
          <w:b/>
          <w:kern w:val="0"/>
          <w:sz w:val="28"/>
          <w:szCs w:val="28"/>
          <w:lang w:val="en-US" w:eastAsia="zh-CN" w:bidi="ar-SA"/>
        </w:rPr>
      </w:pPr>
      <w:r>
        <w:rPr>
          <w:rFonts w:hint="eastAsia"/>
          <w:color w:val="000000"/>
          <w:sz w:val="23"/>
          <w:szCs w:val="23"/>
        </w:rPr>
        <w:t>签订日期：</w:t>
      </w:r>
      <w:r>
        <w:rPr>
          <w:color w:val="000000"/>
          <w:sz w:val="23"/>
          <w:szCs w:val="23"/>
        </w:rPr>
        <w:t xml:space="preserve">  </w:t>
      </w:r>
      <w:r>
        <w:rPr>
          <w:rFonts w:hint="eastAsia"/>
          <w:color w:val="000000"/>
          <w:sz w:val="23"/>
          <w:szCs w:val="23"/>
        </w:rPr>
        <w:t xml:space="preserve"> 年  月  日        </w:t>
      </w:r>
      <w:r>
        <w:rPr>
          <w:color w:val="000000"/>
          <w:sz w:val="23"/>
          <w:szCs w:val="23"/>
        </w:rPr>
        <w:t xml:space="preserve">      </w:t>
      </w:r>
      <w:r>
        <w:rPr>
          <w:rFonts w:hint="eastAsia"/>
          <w:color w:val="000000"/>
          <w:sz w:val="23"/>
          <w:szCs w:val="23"/>
        </w:rPr>
        <w:t> 签订日期：  年 月  日</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E55BD">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4DC2D43">
                          <w:pPr>
                            <w:pStyle w:val="10"/>
                          </w:pPr>
                          <w:r>
                            <w:rPr>
                              <w:rFonts w:hint="eastAsia"/>
                            </w:rPr>
                            <w:t>第</w:t>
                          </w:r>
                          <w:r>
                            <w:fldChar w:fldCharType="begin"/>
                          </w:r>
                          <w:r>
                            <w:instrText xml:space="preserve"> PAGE  \* MERGEFORMAT </w:instrText>
                          </w:r>
                          <w:r>
                            <w:fldChar w:fldCharType="separate"/>
                          </w:r>
                          <w:r>
                            <w:t>12</w:t>
                          </w:r>
                          <w:r>
                            <w:fldChar w:fldCharType="end"/>
                          </w:r>
                          <w:r>
                            <w:rPr>
                              <w:rFonts w:hint="eastAsia"/>
                            </w:rPr>
                            <w:t>页共</w:t>
                          </w:r>
                          <w:r>
                            <w:fldChar w:fldCharType="begin"/>
                          </w:r>
                          <w:r>
                            <w:instrText xml:space="preserve"> NUMPAGES  \* MERGEFORMAT </w:instrText>
                          </w:r>
                          <w:r>
                            <w:fldChar w:fldCharType="separate"/>
                          </w:r>
                          <w:r>
                            <w:t>12</w:t>
                          </w:r>
                          <w:r>
                            <w:fldChar w:fldCharType="end"/>
                          </w:r>
                          <w:r>
                            <w:rPr>
                              <w:rFonts w:hint="eastAsia"/>
                            </w:rPr>
                            <w:t>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T2yWitIBAACiAwAADgAAAAAAAAABACAAAAAfAQAA&#10;ZHJzL2Uyb0RvYy54bWxQSwUGAAAAAAYABgBZAQAAYwUAAAAA&#10;">
              <v:fill on="f" focussize="0,0"/>
              <v:stroke on="f" weight="0.5pt"/>
              <v:imagedata o:title=""/>
              <o:lock v:ext="edit" aspectratio="f"/>
              <v:textbox inset="0mm,0mm,0mm,0mm" style="mso-fit-shape-to-text:t;">
                <w:txbxContent>
                  <w:p w14:paraId="14DC2D43">
                    <w:pPr>
                      <w:pStyle w:val="10"/>
                    </w:pPr>
                    <w:r>
                      <w:rPr>
                        <w:rFonts w:hint="eastAsia"/>
                      </w:rPr>
                      <w:t>第</w:t>
                    </w:r>
                    <w:r>
                      <w:fldChar w:fldCharType="begin"/>
                    </w:r>
                    <w:r>
                      <w:instrText xml:space="preserve"> PAGE  \* MERGEFORMAT </w:instrText>
                    </w:r>
                    <w:r>
                      <w:fldChar w:fldCharType="separate"/>
                    </w:r>
                    <w:r>
                      <w:t>12</w:t>
                    </w:r>
                    <w:r>
                      <w:fldChar w:fldCharType="end"/>
                    </w:r>
                    <w:r>
                      <w:rPr>
                        <w:rFonts w:hint="eastAsia"/>
                      </w:rPr>
                      <w:t>页共</w:t>
                    </w:r>
                    <w:r>
                      <w:fldChar w:fldCharType="begin"/>
                    </w:r>
                    <w:r>
                      <w:instrText xml:space="preserve"> NUMPAGES  \* MERGEFORMAT </w:instrText>
                    </w:r>
                    <w:r>
                      <w:fldChar w:fldCharType="separate"/>
                    </w:r>
                    <w:r>
                      <w:t>12</w:t>
                    </w:r>
                    <w:r>
                      <w:fldChar w:fldCharType="end"/>
                    </w:r>
                    <w:r>
                      <w:rPr>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921E9">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6749B"/>
    <w:multiLevelType w:val="multilevel"/>
    <w:tmpl w:val="0E26749B"/>
    <w:lvl w:ilvl="0" w:tentative="0">
      <w:start w:val="1"/>
      <w:numFmt w:val="decimal"/>
      <w:lvlText w:val="%1、"/>
      <w:lvlJc w:val="left"/>
      <w:pPr>
        <w:ind w:left="360" w:hanging="360"/>
      </w:pPr>
      <w:rPr>
        <w:rFonts w:hint="default"/>
        <w:b w:val="0"/>
        <w:sz w:val="21"/>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1">
    <w:nsid w:val="136B3120"/>
    <w:multiLevelType w:val="multilevel"/>
    <w:tmpl w:val="136B3120"/>
    <w:lvl w:ilvl="0" w:tentative="0">
      <w:start w:val="1"/>
      <w:numFmt w:val="decimalEnclosedCircle"/>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3F3016E"/>
    <w:multiLevelType w:val="multilevel"/>
    <w:tmpl w:val="13F3016E"/>
    <w:lvl w:ilvl="0" w:tentative="0">
      <w:start w:val="1"/>
      <w:numFmt w:val="decimal"/>
      <w:lvlText w:val="%1."/>
      <w:lvlJc w:val="left"/>
      <w:pPr>
        <w:tabs>
          <w:tab w:val="left" w:pos="1264"/>
        </w:tabs>
        <w:ind w:left="1264"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3"/>
      <w:lvlText w:val="%1.%2.%3"/>
      <w:lvlJc w:val="left"/>
      <w:pPr>
        <w:tabs>
          <w:tab w:val="left" w:pos="1287"/>
        </w:tabs>
        <w:ind w:left="1287"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228"/>
    <w:rsid w:val="00000AAF"/>
    <w:rsid w:val="00014031"/>
    <w:rsid w:val="00017CF1"/>
    <w:rsid w:val="00061F3C"/>
    <w:rsid w:val="00067350"/>
    <w:rsid w:val="00085D95"/>
    <w:rsid w:val="0009642E"/>
    <w:rsid w:val="000B6FE4"/>
    <w:rsid w:val="000B7B0C"/>
    <w:rsid w:val="00101162"/>
    <w:rsid w:val="00107187"/>
    <w:rsid w:val="00110E6F"/>
    <w:rsid w:val="00145E38"/>
    <w:rsid w:val="00171AF6"/>
    <w:rsid w:val="00182F7E"/>
    <w:rsid w:val="001C2887"/>
    <w:rsid w:val="001C29E9"/>
    <w:rsid w:val="001E6686"/>
    <w:rsid w:val="001F7A9D"/>
    <w:rsid w:val="002027E0"/>
    <w:rsid w:val="00212EDA"/>
    <w:rsid w:val="00213CCD"/>
    <w:rsid w:val="002476F7"/>
    <w:rsid w:val="00267D94"/>
    <w:rsid w:val="00274D37"/>
    <w:rsid w:val="002A2F83"/>
    <w:rsid w:val="002B05FD"/>
    <w:rsid w:val="002B5574"/>
    <w:rsid w:val="002D3F85"/>
    <w:rsid w:val="002E6213"/>
    <w:rsid w:val="002F5C9E"/>
    <w:rsid w:val="003411DF"/>
    <w:rsid w:val="00386B60"/>
    <w:rsid w:val="003A3E40"/>
    <w:rsid w:val="003A4282"/>
    <w:rsid w:val="003B2E4F"/>
    <w:rsid w:val="003C1A07"/>
    <w:rsid w:val="003C580F"/>
    <w:rsid w:val="003D23E6"/>
    <w:rsid w:val="003E28C9"/>
    <w:rsid w:val="003E2C1D"/>
    <w:rsid w:val="003F0CA9"/>
    <w:rsid w:val="003F39DC"/>
    <w:rsid w:val="003F6692"/>
    <w:rsid w:val="003F66D5"/>
    <w:rsid w:val="0040128F"/>
    <w:rsid w:val="00405998"/>
    <w:rsid w:val="00412399"/>
    <w:rsid w:val="004364B8"/>
    <w:rsid w:val="004441F7"/>
    <w:rsid w:val="00455FE2"/>
    <w:rsid w:val="00460FBB"/>
    <w:rsid w:val="00471086"/>
    <w:rsid w:val="00472882"/>
    <w:rsid w:val="00482E82"/>
    <w:rsid w:val="00490D7C"/>
    <w:rsid w:val="00496CE7"/>
    <w:rsid w:val="004B1FC6"/>
    <w:rsid w:val="004C3219"/>
    <w:rsid w:val="004C5DBA"/>
    <w:rsid w:val="004D2F93"/>
    <w:rsid w:val="004E2DD4"/>
    <w:rsid w:val="00500492"/>
    <w:rsid w:val="00504C97"/>
    <w:rsid w:val="00511967"/>
    <w:rsid w:val="00512254"/>
    <w:rsid w:val="00533CF8"/>
    <w:rsid w:val="00571724"/>
    <w:rsid w:val="00571D40"/>
    <w:rsid w:val="005944F6"/>
    <w:rsid w:val="005B415F"/>
    <w:rsid w:val="005D4CDB"/>
    <w:rsid w:val="005E74AF"/>
    <w:rsid w:val="005F4BB3"/>
    <w:rsid w:val="00625150"/>
    <w:rsid w:val="00632C70"/>
    <w:rsid w:val="006401BD"/>
    <w:rsid w:val="006402BC"/>
    <w:rsid w:val="0065313B"/>
    <w:rsid w:val="00657752"/>
    <w:rsid w:val="006918A9"/>
    <w:rsid w:val="006A1DF4"/>
    <w:rsid w:val="006B0BC3"/>
    <w:rsid w:val="006D408B"/>
    <w:rsid w:val="006F3EDB"/>
    <w:rsid w:val="007005F6"/>
    <w:rsid w:val="00703AB6"/>
    <w:rsid w:val="00711EC9"/>
    <w:rsid w:val="00730110"/>
    <w:rsid w:val="007344CD"/>
    <w:rsid w:val="00740C22"/>
    <w:rsid w:val="007470A3"/>
    <w:rsid w:val="007647A5"/>
    <w:rsid w:val="00776C3A"/>
    <w:rsid w:val="007A1A93"/>
    <w:rsid w:val="007B5CAC"/>
    <w:rsid w:val="007C79CA"/>
    <w:rsid w:val="007E1A28"/>
    <w:rsid w:val="007E7D07"/>
    <w:rsid w:val="008236A2"/>
    <w:rsid w:val="00837D7E"/>
    <w:rsid w:val="008449BB"/>
    <w:rsid w:val="0084617D"/>
    <w:rsid w:val="008506CE"/>
    <w:rsid w:val="00865BF1"/>
    <w:rsid w:val="00877EEC"/>
    <w:rsid w:val="008A054E"/>
    <w:rsid w:val="008B2859"/>
    <w:rsid w:val="008C1F26"/>
    <w:rsid w:val="008E0146"/>
    <w:rsid w:val="008F3B30"/>
    <w:rsid w:val="009029DE"/>
    <w:rsid w:val="0090743D"/>
    <w:rsid w:val="0094434B"/>
    <w:rsid w:val="009505A6"/>
    <w:rsid w:val="0095272F"/>
    <w:rsid w:val="00956B24"/>
    <w:rsid w:val="00990F6D"/>
    <w:rsid w:val="009A6492"/>
    <w:rsid w:val="009A76D8"/>
    <w:rsid w:val="009C259B"/>
    <w:rsid w:val="009E0552"/>
    <w:rsid w:val="009E7AE9"/>
    <w:rsid w:val="009E7EEC"/>
    <w:rsid w:val="009F5D9D"/>
    <w:rsid w:val="00A14929"/>
    <w:rsid w:val="00A15FE6"/>
    <w:rsid w:val="00A47A2F"/>
    <w:rsid w:val="00A47B17"/>
    <w:rsid w:val="00A562C1"/>
    <w:rsid w:val="00A6136F"/>
    <w:rsid w:val="00A84EF2"/>
    <w:rsid w:val="00A90E22"/>
    <w:rsid w:val="00AC28AC"/>
    <w:rsid w:val="00AC5A98"/>
    <w:rsid w:val="00AD6183"/>
    <w:rsid w:val="00AE1C95"/>
    <w:rsid w:val="00AE240D"/>
    <w:rsid w:val="00AF2487"/>
    <w:rsid w:val="00B046A7"/>
    <w:rsid w:val="00B04E92"/>
    <w:rsid w:val="00B302FC"/>
    <w:rsid w:val="00B507A1"/>
    <w:rsid w:val="00B70AD9"/>
    <w:rsid w:val="00BC0E43"/>
    <w:rsid w:val="00BD480F"/>
    <w:rsid w:val="00C248BE"/>
    <w:rsid w:val="00C452AC"/>
    <w:rsid w:val="00C52A03"/>
    <w:rsid w:val="00C56228"/>
    <w:rsid w:val="00C70F11"/>
    <w:rsid w:val="00C76352"/>
    <w:rsid w:val="00C861FE"/>
    <w:rsid w:val="00C9579F"/>
    <w:rsid w:val="00CB0806"/>
    <w:rsid w:val="00CE4B5D"/>
    <w:rsid w:val="00D01AEE"/>
    <w:rsid w:val="00D026D7"/>
    <w:rsid w:val="00D157BA"/>
    <w:rsid w:val="00D201CF"/>
    <w:rsid w:val="00D217AE"/>
    <w:rsid w:val="00D4615C"/>
    <w:rsid w:val="00D73A8C"/>
    <w:rsid w:val="00DA47D5"/>
    <w:rsid w:val="00DB5CD5"/>
    <w:rsid w:val="00DB7840"/>
    <w:rsid w:val="00DD1EA9"/>
    <w:rsid w:val="00DD4CB5"/>
    <w:rsid w:val="00DD6B1F"/>
    <w:rsid w:val="00DD6C13"/>
    <w:rsid w:val="00DE1C3C"/>
    <w:rsid w:val="00E03B2C"/>
    <w:rsid w:val="00E051DA"/>
    <w:rsid w:val="00E13DA3"/>
    <w:rsid w:val="00E243DC"/>
    <w:rsid w:val="00E8681D"/>
    <w:rsid w:val="00EB3B2B"/>
    <w:rsid w:val="00ED58E5"/>
    <w:rsid w:val="00EF6C7A"/>
    <w:rsid w:val="00F015C9"/>
    <w:rsid w:val="00F06149"/>
    <w:rsid w:val="00F2311D"/>
    <w:rsid w:val="00F2713A"/>
    <w:rsid w:val="00F27AFC"/>
    <w:rsid w:val="00F36181"/>
    <w:rsid w:val="00F40BD0"/>
    <w:rsid w:val="00F52F9F"/>
    <w:rsid w:val="00F732CA"/>
    <w:rsid w:val="00F92CF2"/>
    <w:rsid w:val="00F94BEE"/>
    <w:rsid w:val="00F95605"/>
    <w:rsid w:val="00FC16C4"/>
    <w:rsid w:val="00FD26D5"/>
    <w:rsid w:val="00FE2B48"/>
    <w:rsid w:val="00FE5F67"/>
    <w:rsid w:val="00FE705D"/>
    <w:rsid w:val="00FF06FE"/>
    <w:rsid w:val="00FF1703"/>
    <w:rsid w:val="00FF7FAF"/>
    <w:rsid w:val="011959AD"/>
    <w:rsid w:val="04924459"/>
    <w:rsid w:val="07CD5425"/>
    <w:rsid w:val="08E65ADD"/>
    <w:rsid w:val="093B70AB"/>
    <w:rsid w:val="0BCB7D43"/>
    <w:rsid w:val="0CA830A9"/>
    <w:rsid w:val="0D097FEC"/>
    <w:rsid w:val="105835F0"/>
    <w:rsid w:val="111D0F06"/>
    <w:rsid w:val="13805712"/>
    <w:rsid w:val="16DD2664"/>
    <w:rsid w:val="173B4212"/>
    <w:rsid w:val="193F08F1"/>
    <w:rsid w:val="19784AB4"/>
    <w:rsid w:val="1C7574D0"/>
    <w:rsid w:val="1D3C29F8"/>
    <w:rsid w:val="24A23A1F"/>
    <w:rsid w:val="25A014D8"/>
    <w:rsid w:val="264B5482"/>
    <w:rsid w:val="277715C0"/>
    <w:rsid w:val="2F1053B2"/>
    <w:rsid w:val="30304425"/>
    <w:rsid w:val="30E3437E"/>
    <w:rsid w:val="346D235F"/>
    <w:rsid w:val="381C67F8"/>
    <w:rsid w:val="38FF470D"/>
    <w:rsid w:val="3DED04AA"/>
    <w:rsid w:val="3FD87226"/>
    <w:rsid w:val="40286EB1"/>
    <w:rsid w:val="458E23A7"/>
    <w:rsid w:val="476A48A4"/>
    <w:rsid w:val="4902517C"/>
    <w:rsid w:val="494519EB"/>
    <w:rsid w:val="49501BF9"/>
    <w:rsid w:val="49BE2E0C"/>
    <w:rsid w:val="4B8F5203"/>
    <w:rsid w:val="4F660F0E"/>
    <w:rsid w:val="502076A8"/>
    <w:rsid w:val="52E05376"/>
    <w:rsid w:val="547A66A6"/>
    <w:rsid w:val="55D11F05"/>
    <w:rsid w:val="57726482"/>
    <w:rsid w:val="59511914"/>
    <w:rsid w:val="5AD74C21"/>
    <w:rsid w:val="5BAA7871"/>
    <w:rsid w:val="5CE033B8"/>
    <w:rsid w:val="5D1454BE"/>
    <w:rsid w:val="5D28234A"/>
    <w:rsid w:val="6100369C"/>
    <w:rsid w:val="61AD3EC7"/>
    <w:rsid w:val="63AC6BB8"/>
    <w:rsid w:val="654713D8"/>
    <w:rsid w:val="663D4F90"/>
    <w:rsid w:val="6999478B"/>
    <w:rsid w:val="6A9A31A7"/>
    <w:rsid w:val="6BF53DE5"/>
    <w:rsid w:val="6D7A26B4"/>
    <w:rsid w:val="6DE64158"/>
    <w:rsid w:val="6E25471F"/>
    <w:rsid w:val="6F174DC6"/>
    <w:rsid w:val="702B6B1C"/>
    <w:rsid w:val="71BE0C8C"/>
    <w:rsid w:val="7386251A"/>
    <w:rsid w:val="74B67030"/>
    <w:rsid w:val="750B0069"/>
    <w:rsid w:val="76FD1BB0"/>
    <w:rsid w:val="7E1B6041"/>
    <w:rsid w:val="7EDF7BD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line="412" w:lineRule="auto"/>
      <w:jc w:val="center"/>
      <w:outlineLvl w:val="1"/>
    </w:pPr>
    <w:rPr>
      <w:rFonts w:ascii="Arial" w:hAnsi="Arial"/>
      <w:b/>
      <w:sz w:val="24"/>
      <w:szCs w:val="20"/>
    </w:rPr>
  </w:style>
  <w:style w:type="paragraph" w:styleId="3">
    <w:name w:val="heading 3"/>
    <w:basedOn w:val="1"/>
    <w:next w:val="1"/>
    <w:qFormat/>
    <w:uiPriority w:val="99"/>
    <w:pPr>
      <w:keepNext/>
      <w:keepLines/>
      <w:widowControl/>
      <w:numPr>
        <w:ilvl w:val="2"/>
        <w:numId w:val="1"/>
      </w:numPr>
      <w:spacing w:before="260" w:after="260" w:line="416" w:lineRule="auto"/>
      <w:jc w:val="left"/>
      <w:outlineLvl w:val="2"/>
    </w:pPr>
    <w:rPr>
      <w:rFonts w:ascii="Times New Roman" w:hAnsi="Times New Roman" w:eastAsia="宋体" w:cs="Times New Roman"/>
      <w:b/>
      <w:bCs/>
      <w:kern w:val="0"/>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rFonts w:ascii="Times New Roman" w:hAnsi="Times New Roman" w:eastAsia="宋体" w:cs="Times New Roman"/>
      <w:kern w:val="0"/>
      <w:szCs w:val="20"/>
    </w:rPr>
  </w:style>
  <w:style w:type="paragraph" w:styleId="5">
    <w:name w:val="annotation text"/>
    <w:basedOn w:val="1"/>
    <w:semiHidden/>
    <w:unhideWhenUsed/>
    <w:qFormat/>
    <w:uiPriority w:val="99"/>
    <w:pPr>
      <w:jc w:val="left"/>
    </w:pPr>
  </w:style>
  <w:style w:type="paragraph" w:styleId="6">
    <w:name w:val="Body Text"/>
    <w:basedOn w:val="1"/>
    <w:next w:val="1"/>
    <w:qFormat/>
    <w:uiPriority w:val="0"/>
    <w:rPr>
      <w:sz w:val="24"/>
    </w:rPr>
  </w:style>
  <w:style w:type="paragraph" w:styleId="7">
    <w:name w:val="Plain Text"/>
    <w:basedOn w:val="1"/>
    <w:link w:val="24"/>
    <w:qFormat/>
    <w:uiPriority w:val="0"/>
    <w:rPr>
      <w:rFonts w:ascii="宋体" w:hAnsi="Courier New"/>
      <w:szCs w:val="21"/>
    </w:rPr>
  </w:style>
  <w:style w:type="paragraph" w:styleId="8">
    <w:name w:val="Date"/>
    <w:basedOn w:val="1"/>
    <w:next w:val="1"/>
    <w:qFormat/>
    <w:uiPriority w:val="0"/>
    <w:rPr>
      <w:rFonts w:ascii="楷体_GB2312" w:eastAsia="楷体_GB2312"/>
      <w:sz w:val="28"/>
      <w:szCs w:val="20"/>
    </w:rPr>
  </w:style>
  <w:style w:type="paragraph" w:styleId="9">
    <w:name w:val="Balloon Text"/>
    <w:basedOn w:val="1"/>
    <w:link w:val="20"/>
    <w:semiHidden/>
    <w:unhideWhenUsed/>
    <w:qFormat/>
    <w:uiPriority w:val="99"/>
    <w:rPr>
      <w:sz w:val="18"/>
      <w:szCs w:val="18"/>
    </w:rPr>
  </w:style>
  <w:style w:type="paragraph" w:styleId="10">
    <w:name w:val="footer"/>
    <w:basedOn w:val="1"/>
    <w:link w:val="19"/>
    <w:unhideWhenUsed/>
    <w:qFormat/>
    <w:uiPriority w:val="99"/>
    <w:pPr>
      <w:tabs>
        <w:tab w:val="center" w:pos="4153"/>
        <w:tab w:val="right" w:pos="8306"/>
      </w:tabs>
      <w:snapToGrid w:val="0"/>
      <w:jc w:val="left"/>
    </w:pPr>
    <w:rPr>
      <w:sz w:val="18"/>
      <w:szCs w:val="18"/>
    </w:rPr>
  </w:style>
  <w:style w:type="paragraph" w:styleId="11">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Body Text First Indent"/>
    <w:basedOn w:val="6"/>
    <w:unhideWhenUsed/>
    <w:qFormat/>
    <w:uiPriority w:val="99"/>
    <w:pPr>
      <w:ind w:firstLine="420" w:firstLineChars="100"/>
    </w:pPr>
    <w:rPr>
      <w:rFonts w:ascii="Times New Roman" w:hAnsi="Times New Roman"/>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semiHidden/>
    <w:unhideWhenUsed/>
    <w:qFormat/>
    <w:uiPriority w:val="99"/>
    <w:rPr>
      <w:color w:val="0000FF"/>
      <w:u w:val="single"/>
    </w:rPr>
  </w:style>
  <w:style w:type="character" w:customStyle="1" w:styleId="18">
    <w:name w:val="页眉 字符"/>
    <w:basedOn w:val="16"/>
    <w:link w:val="11"/>
    <w:qFormat/>
    <w:uiPriority w:val="99"/>
    <w:rPr>
      <w:sz w:val="18"/>
      <w:szCs w:val="18"/>
    </w:rPr>
  </w:style>
  <w:style w:type="character" w:customStyle="1" w:styleId="19">
    <w:name w:val="页脚 字符"/>
    <w:basedOn w:val="16"/>
    <w:link w:val="10"/>
    <w:qFormat/>
    <w:uiPriority w:val="99"/>
    <w:rPr>
      <w:sz w:val="18"/>
      <w:szCs w:val="18"/>
    </w:rPr>
  </w:style>
  <w:style w:type="character" w:customStyle="1" w:styleId="20">
    <w:name w:val="批注框文本 字符"/>
    <w:basedOn w:val="16"/>
    <w:link w:val="9"/>
    <w:semiHidden/>
    <w:qFormat/>
    <w:uiPriority w:val="99"/>
    <w:rPr>
      <w:sz w:val="18"/>
      <w:szCs w:val="18"/>
    </w:rPr>
  </w:style>
  <w:style w:type="paragraph" w:customStyle="1" w:styleId="21">
    <w:name w:val="1"/>
    <w:basedOn w:val="1"/>
    <w:next w:val="7"/>
    <w:qFormat/>
    <w:uiPriority w:val="0"/>
    <w:rPr>
      <w:rFonts w:ascii="宋体" w:hAnsi="Courier New"/>
      <w:szCs w:val="20"/>
    </w:rPr>
  </w:style>
  <w:style w:type="paragraph" w:customStyle="1" w:styleId="22">
    <w:name w:val="文一"/>
    <w:basedOn w:val="1"/>
    <w:qFormat/>
    <w:uiPriority w:val="0"/>
    <w:pPr>
      <w:topLinePunct/>
      <w:adjustRightInd w:val="0"/>
      <w:snapToGrid w:val="0"/>
      <w:spacing w:line="360" w:lineRule="auto"/>
      <w:ind w:firstLine="200" w:firstLineChars="200"/>
    </w:pPr>
    <w:rPr>
      <w:rFonts w:ascii="Times New Roman" w:hAnsi="Times New Roman" w:eastAsia="宋体" w:cs="Times New Roman"/>
      <w:spacing w:val="4"/>
      <w:kern w:val="0"/>
      <w:sz w:val="24"/>
      <w:szCs w:val="24"/>
    </w:rPr>
  </w:style>
  <w:style w:type="paragraph" w:styleId="23">
    <w:name w:val="List Paragraph"/>
    <w:qFormat/>
    <w:uiPriority w:val="34"/>
    <w:pPr>
      <w:widowControl w:val="0"/>
      <w:ind w:firstLine="420" w:firstLineChars="200"/>
      <w:jc w:val="both"/>
    </w:pPr>
    <w:rPr>
      <w:rFonts w:ascii="Times New Roman" w:hAnsi="Times New Roman" w:eastAsia="宋体" w:cs="Times New Roman"/>
      <w:kern w:val="2"/>
      <w:sz w:val="21"/>
      <w:szCs w:val="24"/>
      <w:lang w:val="en-US" w:eastAsia="zh-CN" w:bidi="ar-SA"/>
    </w:rPr>
  </w:style>
  <w:style w:type="character" w:customStyle="1" w:styleId="24">
    <w:name w:val="纯文本 字符"/>
    <w:basedOn w:val="16"/>
    <w:link w:val="7"/>
    <w:qFormat/>
    <w:uiPriority w:val="0"/>
    <w:rPr>
      <w:rFonts w:ascii="宋体" w:hAnsi="Courier New" w:eastAsiaTheme="minorEastAsia" w:cstheme="minorBid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0BD30F-F371-4FDF-B95A-BA482E54129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20</Pages>
  <Words>6426</Words>
  <Characters>6587</Characters>
  <Lines>55</Lines>
  <Paragraphs>15</Paragraphs>
  <TotalTime>1</TotalTime>
  <ScaleCrop>false</ScaleCrop>
  <LinksUpToDate>false</LinksUpToDate>
  <CharactersWithSpaces>6835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2024-05-30T01:18:00Z</dcterms:created>
  <dc:creator>yangguannan</dc:creator>
  <cp:lastModifiedBy>刘文莉</cp:lastModifiedBy>
  <dcterms:modified xsi:type="dcterms:W3CDTF">2026-07-06T06:25:48Z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310A2F25A12D4B1798911B30F91AA6F4</vt:lpwstr>
  </property>
  <property fmtid="{D5CDD505-2E9C-101B-9397-08002B2CF9AE}" pid="4" name="KSOTemplateDocerSaveRecord">
    <vt:lpwstr>eyJoZGlkIjoiMjBjOWE0NzVmMTUzOWQyZTdiYTg0YTIzNzZmMjZlYTUiLCJ1c2VySWQiOiIxNjgyMzY0NDAwIn0=</vt:lpwstr>
  </property>
</Properties>
</file>