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EC543">
      <w:pPr>
        <w:spacing w:before="156" w:beforeLines="50" w:after="156" w:afterLines="50" w:line="360" w:lineRule="exact"/>
        <w:jc w:val="center"/>
        <w:rPr>
          <w:rFonts w:asciiTheme="minorEastAsia" w:hAnsiTheme="minorEastAsia" w:eastAsiaTheme="minorEastAsia"/>
          <w:b/>
          <w:bCs/>
          <w:sz w:val="28"/>
          <w:szCs w:val="28"/>
        </w:rPr>
      </w:pPr>
      <w:bookmarkStart w:id="0" w:name="_Hlk162860306"/>
      <w:bookmarkStart w:id="1" w:name="_Hlk162860017"/>
      <w:r>
        <w:rPr>
          <w:rFonts w:hint="eastAsia" w:asciiTheme="minorEastAsia" w:hAnsiTheme="minorEastAsia" w:eastAsiaTheme="minorEastAsia"/>
          <w:b/>
          <w:bCs/>
          <w:sz w:val="28"/>
          <w:szCs w:val="28"/>
        </w:rPr>
        <w:t>广州大学榕轩8栋信息点增加</w:t>
      </w:r>
      <w:r>
        <w:rPr>
          <w:rFonts w:asciiTheme="minorEastAsia" w:hAnsiTheme="minorEastAsia" w:eastAsiaTheme="minorEastAsia"/>
          <w:b/>
          <w:bCs/>
          <w:sz w:val="28"/>
          <w:szCs w:val="28"/>
        </w:rPr>
        <w:t>项目</w:t>
      </w:r>
      <w:r>
        <w:rPr>
          <w:rFonts w:hint="eastAsia" w:asciiTheme="minorEastAsia" w:hAnsiTheme="minorEastAsia" w:eastAsiaTheme="minorEastAsia"/>
          <w:b/>
          <w:bCs/>
          <w:sz w:val="28"/>
          <w:szCs w:val="28"/>
        </w:rPr>
        <w:t>校内零散采购询价文件</w:t>
      </w:r>
    </w:p>
    <w:p w14:paraId="6D20627D">
      <w:pPr>
        <w:spacing w:line="360" w:lineRule="auto"/>
        <w:outlineLvl w:val="0"/>
        <w:rPr>
          <w:rFonts w:cs="Arial" w:asciiTheme="minorEastAsia" w:hAnsiTheme="minorEastAsia" w:eastAsiaTheme="minorEastAsia"/>
          <w:b/>
          <w:bCs/>
          <w:sz w:val="24"/>
          <w:lang w:val="zh-CN"/>
        </w:rPr>
      </w:pPr>
      <w:r>
        <w:rPr>
          <w:rFonts w:hint="eastAsia" w:cs="Arial" w:asciiTheme="minorEastAsia" w:hAnsiTheme="minorEastAsia" w:eastAsiaTheme="minorEastAsia"/>
          <w:b/>
          <w:bCs/>
          <w:sz w:val="24"/>
          <w:lang w:val="zh-CN"/>
        </w:rPr>
        <w:t>一、采购项目：</w:t>
      </w:r>
    </w:p>
    <w:p w14:paraId="694D2E75">
      <w:pPr>
        <w:spacing w:line="360" w:lineRule="auto"/>
        <w:ind w:firstLine="48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1</w:t>
      </w:r>
      <w:r>
        <w:rPr>
          <w:rFonts w:hint="eastAsia" w:cs="Arial" w:asciiTheme="minorEastAsia" w:hAnsiTheme="minorEastAsia" w:eastAsiaTheme="minorEastAsia"/>
          <w:sz w:val="24"/>
          <w:lang w:val="en-US" w:eastAsia="zh-CN"/>
        </w:rPr>
        <w:t>.</w:t>
      </w:r>
      <w:r>
        <w:rPr>
          <w:rFonts w:hint="eastAsia" w:cs="Arial" w:asciiTheme="minorEastAsia" w:hAnsiTheme="minorEastAsia" w:eastAsiaTheme="minorEastAsia"/>
          <w:sz w:val="24"/>
          <w:lang w:val="zh-CN"/>
        </w:rPr>
        <w:t>项目名称：广州大学榕轩8栋信息点增加项目</w:t>
      </w:r>
    </w:p>
    <w:p w14:paraId="5F946DB4">
      <w:pPr>
        <w:spacing w:line="360" w:lineRule="auto"/>
        <w:ind w:firstLine="48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2</w:t>
      </w:r>
      <w:r>
        <w:rPr>
          <w:rFonts w:hint="eastAsia" w:cs="Arial" w:asciiTheme="minorEastAsia" w:hAnsiTheme="minorEastAsia" w:eastAsiaTheme="minorEastAsia"/>
          <w:sz w:val="24"/>
          <w:lang w:val="en-US" w:eastAsia="zh-CN"/>
        </w:rPr>
        <w:t>.</w:t>
      </w:r>
      <w:r>
        <w:rPr>
          <w:rFonts w:hint="eastAsia" w:cs="Arial" w:asciiTheme="minorEastAsia" w:hAnsiTheme="minorEastAsia" w:eastAsiaTheme="minorEastAsia"/>
          <w:sz w:val="24"/>
          <w:lang w:val="zh-CN"/>
        </w:rPr>
        <w:t>本项目最高限价：</w:t>
      </w:r>
      <w:r>
        <w:rPr>
          <w:rFonts w:hint="eastAsia" w:cs="Arial" w:asciiTheme="minorEastAsia" w:hAnsiTheme="minorEastAsia" w:eastAsiaTheme="minorEastAsia"/>
          <w:sz w:val="24"/>
          <w:u w:val="single"/>
          <w:lang w:val="zh-CN"/>
        </w:rPr>
        <w:t>￥</w:t>
      </w:r>
      <w:r>
        <w:rPr>
          <w:rFonts w:cs="Arial" w:asciiTheme="minorEastAsia" w:hAnsiTheme="minorEastAsia" w:eastAsiaTheme="minorEastAsia"/>
          <w:sz w:val="24"/>
          <w:u w:val="single"/>
          <w:lang w:val="zh-CN"/>
        </w:rPr>
        <w:t>60</w:t>
      </w:r>
      <w:r>
        <w:rPr>
          <w:rFonts w:hint="eastAsia" w:cs="Arial" w:asciiTheme="minorEastAsia" w:hAnsiTheme="minorEastAsia" w:eastAsiaTheme="minorEastAsia"/>
          <w:sz w:val="24"/>
          <w:u w:val="single"/>
          <w:lang w:val="en-US" w:eastAsia="zh-CN"/>
        </w:rPr>
        <w:t>00</w:t>
      </w:r>
      <w:r>
        <w:rPr>
          <w:rFonts w:cs="Arial" w:asciiTheme="minorEastAsia" w:hAnsiTheme="minorEastAsia" w:eastAsiaTheme="minorEastAsia"/>
          <w:sz w:val="24"/>
          <w:u w:val="single"/>
          <w:lang w:val="zh-CN"/>
        </w:rPr>
        <w:t>0.00</w:t>
      </w:r>
      <w:r>
        <w:rPr>
          <w:rFonts w:hint="eastAsia" w:cs="Arial" w:asciiTheme="minorEastAsia" w:hAnsiTheme="minorEastAsia" w:eastAsiaTheme="minorEastAsia"/>
          <w:sz w:val="24"/>
          <w:u w:val="single"/>
          <w:lang w:val="zh-CN"/>
        </w:rPr>
        <w:t xml:space="preserve"> 元</w:t>
      </w:r>
    </w:p>
    <w:p w14:paraId="1E8C0CA8">
      <w:pPr>
        <w:spacing w:line="360" w:lineRule="auto"/>
        <w:ind w:firstLine="480"/>
        <w:rPr>
          <w:rFonts w:hint="eastAsia" w:cs="Arial" w:asciiTheme="minorEastAsia" w:hAnsiTheme="minorEastAsia" w:eastAsiaTheme="minorEastAsia"/>
          <w:sz w:val="24"/>
          <w:lang w:val="en-US" w:eastAsia="zh-CN"/>
        </w:rPr>
      </w:pPr>
      <w:r>
        <w:rPr>
          <w:rFonts w:hint="eastAsia" w:cs="Arial" w:asciiTheme="minorEastAsia" w:hAnsiTheme="minorEastAsia" w:eastAsiaTheme="minorEastAsia"/>
          <w:sz w:val="24"/>
          <w:lang w:val="zh-CN"/>
        </w:rPr>
        <w:t>3</w:t>
      </w:r>
      <w:r>
        <w:rPr>
          <w:rFonts w:hint="eastAsia" w:cs="Arial" w:asciiTheme="minorEastAsia" w:hAnsiTheme="minorEastAsia" w:eastAsiaTheme="minorEastAsia"/>
          <w:sz w:val="24"/>
          <w:lang w:val="en-US" w:eastAsia="zh-CN"/>
        </w:rPr>
        <w:t>.</w:t>
      </w:r>
      <w:r>
        <w:rPr>
          <w:rFonts w:hint="eastAsia" w:cs="Arial" w:asciiTheme="minorEastAsia" w:hAnsiTheme="minorEastAsia" w:eastAsiaTheme="minorEastAsia"/>
          <w:sz w:val="24"/>
          <w:lang w:val="zh-CN"/>
        </w:rPr>
        <w:t>本项目使用地点：广州大学大学城校区</w:t>
      </w:r>
      <w:r>
        <w:rPr>
          <w:rFonts w:hint="eastAsia" w:cs="Arial" w:asciiTheme="minorEastAsia" w:hAnsiTheme="minorEastAsia" w:eastAsiaTheme="minorEastAsia"/>
          <w:sz w:val="24"/>
          <w:lang w:val="en-US" w:eastAsia="zh-CN"/>
        </w:rPr>
        <w:t>榕轩8栋</w:t>
      </w:r>
    </w:p>
    <w:p w14:paraId="2F906E39">
      <w:pPr>
        <w:spacing w:line="360" w:lineRule="auto"/>
        <w:ind w:firstLine="480"/>
        <w:rPr>
          <w:rFonts w:hint="default" w:cs="Arial" w:asciiTheme="minorEastAsia" w:hAnsiTheme="minorEastAsia" w:eastAsiaTheme="minorEastAsia"/>
          <w:sz w:val="24"/>
          <w:lang w:val="en-US" w:eastAsia="zh-CN"/>
        </w:rPr>
      </w:pPr>
      <w:r>
        <w:rPr>
          <w:rFonts w:hint="eastAsia" w:cs="Arial" w:asciiTheme="minorEastAsia" w:hAnsiTheme="minorEastAsia" w:eastAsiaTheme="minorEastAsia"/>
          <w:sz w:val="24"/>
          <w:lang w:val="en-US" w:eastAsia="zh-CN"/>
        </w:rPr>
        <w:t>4.工期要求：合同签订后15个日历天内完工，并具备验收条件。</w:t>
      </w:r>
    </w:p>
    <w:p w14:paraId="0B13C51E">
      <w:pPr>
        <w:spacing w:line="360" w:lineRule="auto"/>
        <w:outlineLvl w:val="0"/>
        <w:rPr>
          <w:rFonts w:asciiTheme="minorEastAsia" w:hAnsiTheme="minorEastAsia" w:eastAsiaTheme="minorEastAsia"/>
          <w:b/>
          <w:bCs/>
          <w:sz w:val="24"/>
        </w:rPr>
      </w:pPr>
      <w:r>
        <w:rPr>
          <w:rFonts w:hint="eastAsia" w:cs="Arial" w:asciiTheme="minorEastAsia" w:hAnsiTheme="minorEastAsia" w:eastAsiaTheme="minorEastAsia"/>
          <w:b/>
          <w:bCs/>
          <w:sz w:val="24"/>
          <w:lang w:val="zh-CN"/>
        </w:rPr>
        <w:t>二、采购</w:t>
      </w:r>
      <w:r>
        <w:rPr>
          <w:rFonts w:hint="eastAsia" w:asciiTheme="minorEastAsia" w:hAnsiTheme="minorEastAsia" w:eastAsiaTheme="minorEastAsia"/>
          <w:b/>
          <w:bCs/>
          <w:sz w:val="24"/>
        </w:rPr>
        <w:t>货物或服务名称、数量、规格及技术要求：</w:t>
      </w:r>
    </w:p>
    <w:p w14:paraId="4DFDDDF1">
      <w:pPr>
        <w:widowControl/>
        <w:spacing w:line="360" w:lineRule="auto"/>
        <w:ind w:firstLine="480" w:firstLineChars="200"/>
        <w:jc w:val="left"/>
        <w:rPr>
          <w:rFonts w:hint="default"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1.建设内容</w:t>
      </w:r>
    </w:p>
    <w:p w14:paraId="644EE0C8">
      <w:pPr>
        <w:widowControl/>
        <w:spacing w:line="360" w:lineRule="auto"/>
        <w:ind w:firstLine="480" w:firstLineChars="200"/>
        <w:jc w:val="left"/>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榕轩8栋有36套周转房改造成学生宿舍，计划对每套周转房的每个房间和大厅增加1个无线网络信息点，共需要布置96个无线网络信息点并安装相应的无线AP（所有无线AP由采购人提供。中标方须承诺安装时如果因为施工时损坏无线AP，中标方须及时修好无线AP或者按原价赔偿给采购人）。</w:t>
      </w:r>
    </w:p>
    <w:p w14:paraId="4DF334EC">
      <w:pPr>
        <w:widowControl/>
        <w:spacing w:line="360" w:lineRule="auto"/>
        <w:jc w:val="left"/>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综合布线点位清单如下</w:t>
      </w:r>
    </w:p>
    <w:tbl>
      <w:tblPr>
        <w:tblStyle w:val="15"/>
        <w:tblW w:w="5553" w:type="pct"/>
        <w:tblInd w:w="-418" w:type="dxa"/>
        <w:tblLayout w:type="autofit"/>
        <w:tblCellMar>
          <w:top w:w="0" w:type="dxa"/>
          <w:left w:w="108" w:type="dxa"/>
          <w:bottom w:w="0" w:type="dxa"/>
          <w:right w:w="108" w:type="dxa"/>
        </w:tblCellMar>
      </w:tblPr>
      <w:tblGrid>
        <w:gridCol w:w="1498"/>
        <w:gridCol w:w="1827"/>
        <w:gridCol w:w="3692"/>
        <w:gridCol w:w="2448"/>
      </w:tblGrid>
      <w:tr w14:paraId="3EB87C3B">
        <w:tblPrEx>
          <w:tblCellMar>
            <w:top w:w="0" w:type="dxa"/>
            <w:left w:w="108" w:type="dxa"/>
            <w:bottom w:w="0" w:type="dxa"/>
            <w:right w:w="108" w:type="dxa"/>
          </w:tblCellMar>
        </w:tblPrEx>
        <w:trPr>
          <w:trHeight w:val="470" w:hRule="atLeast"/>
        </w:trPr>
        <w:tc>
          <w:tcPr>
            <w:tcW w:w="791"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2F639226">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序号</w:t>
            </w:r>
          </w:p>
        </w:tc>
        <w:tc>
          <w:tcPr>
            <w:tcW w:w="965"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550B1C32">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名称</w:t>
            </w:r>
          </w:p>
        </w:tc>
        <w:tc>
          <w:tcPr>
            <w:tcW w:w="1950"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52BDCAD5">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无线信息点（六类）</w:t>
            </w:r>
          </w:p>
        </w:tc>
        <w:tc>
          <w:tcPr>
            <w:tcW w:w="1293" w:type="pct"/>
            <w:tcBorders>
              <w:top w:val="single" w:color="000000" w:sz="4" w:space="0"/>
              <w:left w:val="single" w:color="000000" w:sz="4" w:space="0"/>
              <w:bottom w:val="single" w:color="000000" w:sz="4" w:space="0"/>
              <w:right w:val="single" w:color="000000" w:sz="4" w:space="0"/>
            </w:tcBorders>
            <w:shd w:val="clear" w:color="auto" w:fill="DCE6F1"/>
            <w:vAlign w:val="center"/>
          </w:tcPr>
          <w:p w14:paraId="6DAE9F0F">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备注</w:t>
            </w:r>
          </w:p>
        </w:tc>
      </w:tr>
      <w:tr w14:paraId="0BD34FE7">
        <w:tblPrEx>
          <w:tblCellMar>
            <w:top w:w="0" w:type="dxa"/>
            <w:left w:w="108" w:type="dxa"/>
            <w:bottom w:w="0" w:type="dxa"/>
            <w:right w:w="108" w:type="dxa"/>
          </w:tblCellMar>
        </w:tblPrEx>
        <w:trPr>
          <w:trHeight w:val="499" w:hRule="atLeast"/>
        </w:trPr>
        <w:tc>
          <w:tcPr>
            <w:tcW w:w="791" w:type="pct"/>
            <w:tcBorders>
              <w:top w:val="single" w:color="000000" w:sz="4" w:space="0"/>
              <w:left w:val="single" w:color="000000" w:sz="4" w:space="0"/>
              <w:bottom w:val="single" w:color="000000" w:sz="4" w:space="0"/>
              <w:right w:val="single" w:color="000000" w:sz="4" w:space="0"/>
            </w:tcBorders>
            <w:noWrap/>
            <w:vAlign w:val="center"/>
          </w:tcPr>
          <w:p w14:paraId="128F2704">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1</w:t>
            </w:r>
          </w:p>
        </w:tc>
        <w:tc>
          <w:tcPr>
            <w:tcW w:w="965" w:type="pct"/>
            <w:tcBorders>
              <w:top w:val="single" w:color="000000" w:sz="4" w:space="0"/>
              <w:left w:val="single" w:color="000000" w:sz="4" w:space="0"/>
              <w:bottom w:val="single" w:color="000000" w:sz="4" w:space="0"/>
              <w:right w:val="single" w:color="000000" w:sz="4" w:space="0"/>
            </w:tcBorders>
            <w:noWrap/>
            <w:vAlign w:val="center"/>
          </w:tcPr>
          <w:p w14:paraId="5355D723">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榕轩8栋</w:t>
            </w:r>
          </w:p>
        </w:tc>
        <w:tc>
          <w:tcPr>
            <w:tcW w:w="1950" w:type="pct"/>
            <w:tcBorders>
              <w:top w:val="single" w:color="000000" w:sz="4" w:space="0"/>
              <w:left w:val="single" w:color="000000" w:sz="4" w:space="0"/>
              <w:bottom w:val="single" w:color="000000" w:sz="4" w:space="0"/>
              <w:right w:val="single" w:color="000000" w:sz="4" w:space="0"/>
            </w:tcBorders>
            <w:noWrap/>
            <w:vAlign w:val="center"/>
          </w:tcPr>
          <w:p w14:paraId="7A05FAC6">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96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73382A2">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36个房间</w:t>
            </w:r>
          </w:p>
        </w:tc>
      </w:tr>
      <w:tr w14:paraId="3BCD1498">
        <w:tblPrEx>
          <w:tblCellMar>
            <w:top w:w="0" w:type="dxa"/>
            <w:left w:w="108" w:type="dxa"/>
            <w:bottom w:w="0" w:type="dxa"/>
            <w:right w:w="108" w:type="dxa"/>
          </w:tblCellMar>
        </w:tblPrEx>
        <w:trPr>
          <w:trHeight w:val="499" w:hRule="atLeast"/>
        </w:trPr>
        <w:tc>
          <w:tcPr>
            <w:tcW w:w="1756" w:type="pct"/>
            <w:gridSpan w:val="2"/>
            <w:tcBorders>
              <w:top w:val="single" w:color="000000" w:sz="4" w:space="0"/>
              <w:left w:val="single" w:color="000000" w:sz="4" w:space="0"/>
              <w:bottom w:val="single" w:color="000000" w:sz="4" w:space="0"/>
              <w:right w:val="single" w:color="000000" w:sz="4" w:space="0"/>
            </w:tcBorders>
            <w:noWrap/>
            <w:vAlign w:val="center"/>
          </w:tcPr>
          <w:p w14:paraId="2B56B73A">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合计</w:t>
            </w:r>
          </w:p>
        </w:tc>
        <w:tc>
          <w:tcPr>
            <w:tcW w:w="1950" w:type="pct"/>
            <w:tcBorders>
              <w:top w:val="single" w:color="000000" w:sz="4" w:space="0"/>
              <w:left w:val="single" w:color="000000" w:sz="4" w:space="0"/>
              <w:bottom w:val="single" w:color="000000" w:sz="4" w:space="0"/>
              <w:right w:val="single" w:color="000000" w:sz="4" w:space="0"/>
            </w:tcBorders>
            <w:noWrap/>
            <w:vAlign w:val="center"/>
          </w:tcPr>
          <w:p w14:paraId="7FC5DD62">
            <w:pPr>
              <w:widowControl/>
              <w:spacing w:line="360" w:lineRule="auto"/>
              <w:jc w:val="center"/>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96</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85B044">
            <w:pPr>
              <w:widowControl/>
              <w:spacing w:line="360" w:lineRule="auto"/>
              <w:jc w:val="center"/>
              <w:rPr>
                <w:rFonts w:hint="eastAsia" w:cs="宋体" w:asciiTheme="minorEastAsia" w:hAnsiTheme="minorEastAsia" w:eastAsiaTheme="minorEastAsia"/>
                <w:bCs/>
                <w:color w:val="000000"/>
                <w:kern w:val="0"/>
                <w:sz w:val="24"/>
                <w:lang w:val="en-US" w:eastAsia="zh-CN"/>
              </w:rPr>
            </w:pPr>
          </w:p>
        </w:tc>
      </w:tr>
    </w:tbl>
    <w:p w14:paraId="5D323823">
      <w:pPr>
        <w:widowControl/>
        <w:spacing w:line="360" w:lineRule="auto"/>
        <w:ind w:firstLine="240" w:firstLineChars="100"/>
        <w:jc w:val="left"/>
        <w:rPr>
          <w:rFonts w:hint="eastAsia" w:cs="宋体" w:asciiTheme="minorEastAsia" w:hAnsiTheme="minorEastAsia" w:eastAsiaTheme="minorEastAsia"/>
          <w:bCs/>
          <w:color w:val="000000"/>
          <w:kern w:val="0"/>
          <w:sz w:val="24"/>
          <w:lang w:val="en-US" w:eastAsia="zh-CN"/>
        </w:rPr>
      </w:pPr>
    </w:p>
    <w:p w14:paraId="3851209E">
      <w:pPr>
        <w:widowControl/>
        <w:spacing w:line="360" w:lineRule="auto"/>
        <w:ind w:firstLine="240" w:firstLineChars="100"/>
        <w:jc w:val="left"/>
        <w:rPr>
          <w:rFonts w:hint="default"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2.采购清单列表</w:t>
      </w:r>
    </w:p>
    <w:tbl>
      <w:tblPr>
        <w:tblStyle w:val="15"/>
        <w:tblW w:w="9480"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685"/>
        <w:gridCol w:w="765"/>
        <w:gridCol w:w="705"/>
        <w:gridCol w:w="4500"/>
      </w:tblGrid>
      <w:tr w14:paraId="68F2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753A">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FFBC">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货物</w:t>
            </w:r>
            <w:r>
              <w:rPr>
                <w:rFonts w:cs="宋体" w:asciiTheme="minorEastAsia" w:hAnsiTheme="minorEastAsia" w:eastAsiaTheme="minorEastAsia"/>
                <w:bCs/>
                <w:color w:val="000000"/>
                <w:kern w:val="0"/>
                <w:sz w:val="24"/>
              </w:rPr>
              <w:t>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8088">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03F0">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单位</w:t>
            </w:r>
          </w:p>
        </w:tc>
        <w:tc>
          <w:tcPr>
            <w:tcW w:w="4500" w:type="dxa"/>
            <w:tcBorders>
              <w:top w:val="single" w:color="000000" w:sz="4" w:space="0"/>
              <w:left w:val="single" w:color="000000" w:sz="4" w:space="0"/>
              <w:bottom w:val="single" w:color="000000" w:sz="4" w:space="0"/>
              <w:right w:val="single" w:color="000000" w:sz="4" w:space="0"/>
            </w:tcBorders>
          </w:tcPr>
          <w:p w14:paraId="147913B8">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备注</w:t>
            </w:r>
          </w:p>
        </w:tc>
      </w:tr>
      <w:tr w14:paraId="3B78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3A85">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3D9E">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六类非屏蔽双绞线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8E36">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611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箱</w:t>
            </w:r>
          </w:p>
        </w:tc>
        <w:tc>
          <w:tcPr>
            <w:tcW w:w="4500" w:type="dxa"/>
            <w:tcBorders>
              <w:top w:val="single" w:color="000000" w:sz="4" w:space="0"/>
              <w:left w:val="single" w:color="000000" w:sz="4" w:space="0"/>
              <w:bottom w:val="single" w:color="000000" w:sz="4" w:space="0"/>
              <w:right w:val="single" w:color="000000" w:sz="4" w:space="0"/>
            </w:tcBorders>
          </w:tcPr>
          <w:p w14:paraId="13454146">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w:t>
            </w:r>
            <w:r>
              <w:rPr>
                <w:rFonts w:cs="宋体" w:asciiTheme="minorEastAsia" w:hAnsiTheme="minorEastAsia" w:eastAsiaTheme="minorEastAsia"/>
                <w:bCs/>
                <w:color w:val="000000"/>
                <w:kern w:val="0"/>
                <w:sz w:val="24"/>
              </w:rPr>
              <w:t>参数详见</w:t>
            </w:r>
            <w:r>
              <w:rPr>
                <w:rFonts w:hint="eastAsia" w:cs="宋体" w:asciiTheme="minorEastAsia" w:hAnsiTheme="minorEastAsia" w:eastAsiaTheme="minorEastAsia"/>
                <w:bCs/>
                <w:color w:val="000000"/>
                <w:kern w:val="0"/>
                <w:sz w:val="24"/>
              </w:rPr>
              <w:t>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采购清单参数要求</w:t>
            </w:r>
          </w:p>
        </w:tc>
      </w:tr>
      <w:tr w14:paraId="7AA5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8CD">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9AA">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六类非屏蔽模块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2951">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F728">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个</w:t>
            </w:r>
          </w:p>
        </w:tc>
        <w:tc>
          <w:tcPr>
            <w:tcW w:w="4500" w:type="dxa"/>
            <w:tcBorders>
              <w:top w:val="single" w:color="000000" w:sz="4" w:space="0"/>
              <w:left w:val="single" w:color="000000" w:sz="4" w:space="0"/>
              <w:bottom w:val="single" w:color="000000" w:sz="4" w:space="0"/>
              <w:right w:val="single" w:color="000000" w:sz="4" w:space="0"/>
            </w:tcBorders>
          </w:tcPr>
          <w:p w14:paraId="269F0EAD">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采购清单参数要求</w:t>
            </w:r>
          </w:p>
        </w:tc>
      </w:tr>
      <w:tr w14:paraId="7053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0EB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D78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24口配线架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0F31">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8BB9">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套</w:t>
            </w:r>
          </w:p>
        </w:tc>
        <w:tc>
          <w:tcPr>
            <w:tcW w:w="4500" w:type="dxa"/>
            <w:tcBorders>
              <w:top w:val="single" w:color="000000" w:sz="4" w:space="0"/>
              <w:left w:val="single" w:color="000000" w:sz="4" w:space="0"/>
              <w:bottom w:val="single" w:color="000000" w:sz="4" w:space="0"/>
              <w:right w:val="single" w:color="000000" w:sz="4" w:space="0"/>
            </w:tcBorders>
          </w:tcPr>
          <w:p w14:paraId="3BEE4159">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采购清单参数要求</w:t>
            </w:r>
          </w:p>
        </w:tc>
      </w:tr>
      <w:tr w14:paraId="40E5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196">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5F4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理线器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AC4A">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16C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套</w:t>
            </w:r>
          </w:p>
        </w:tc>
        <w:tc>
          <w:tcPr>
            <w:tcW w:w="4500" w:type="dxa"/>
            <w:tcBorders>
              <w:top w:val="single" w:color="000000" w:sz="4" w:space="0"/>
              <w:left w:val="single" w:color="000000" w:sz="4" w:space="0"/>
              <w:bottom w:val="single" w:color="000000" w:sz="4" w:space="0"/>
              <w:right w:val="single" w:color="000000" w:sz="4" w:space="0"/>
            </w:tcBorders>
          </w:tcPr>
          <w:p w14:paraId="3028F793">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 xml:space="preserve"> 采购清单参数要求</w:t>
            </w:r>
          </w:p>
        </w:tc>
      </w:tr>
      <w:tr w14:paraId="701D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956">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B1B5">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六类非屏蔽跳线1米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86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3822">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条</w:t>
            </w:r>
          </w:p>
        </w:tc>
        <w:tc>
          <w:tcPr>
            <w:tcW w:w="4500" w:type="dxa"/>
            <w:tcBorders>
              <w:top w:val="single" w:color="000000" w:sz="4" w:space="0"/>
              <w:left w:val="single" w:color="000000" w:sz="4" w:space="0"/>
              <w:bottom w:val="single" w:color="000000" w:sz="4" w:space="0"/>
              <w:right w:val="single" w:color="000000" w:sz="4" w:space="0"/>
            </w:tcBorders>
          </w:tcPr>
          <w:p w14:paraId="56793EC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 xml:space="preserve"> 采购清单参数要求</w:t>
            </w:r>
          </w:p>
        </w:tc>
      </w:tr>
      <w:tr w14:paraId="40FB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8262">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1328">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明装底盒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2BDD">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85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个</w:t>
            </w:r>
          </w:p>
        </w:tc>
        <w:tc>
          <w:tcPr>
            <w:tcW w:w="4500" w:type="dxa"/>
            <w:tcBorders>
              <w:top w:val="single" w:color="000000" w:sz="4" w:space="0"/>
              <w:left w:val="single" w:color="000000" w:sz="4" w:space="0"/>
              <w:bottom w:val="single" w:color="000000" w:sz="4" w:space="0"/>
              <w:right w:val="single" w:color="000000" w:sz="4" w:space="0"/>
            </w:tcBorders>
          </w:tcPr>
          <w:p w14:paraId="322BB4A7">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 xml:space="preserve"> 采购清单参数要求</w:t>
            </w:r>
          </w:p>
        </w:tc>
      </w:tr>
      <w:tr w14:paraId="58D5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CED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CEAA">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PVC线槽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66BE">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500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9AD">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米</w:t>
            </w:r>
          </w:p>
        </w:tc>
        <w:tc>
          <w:tcPr>
            <w:tcW w:w="4500" w:type="dxa"/>
            <w:tcBorders>
              <w:top w:val="single" w:color="000000" w:sz="4" w:space="0"/>
              <w:left w:val="single" w:color="000000" w:sz="4" w:space="0"/>
              <w:bottom w:val="single" w:color="000000" w:sz="4" w:space="0"/>
              <w:right w:val="single" w:color="000000" w:sz="4" w:space="0"/>
            </w:tcBorders>
          </w:tcPr>
          <w:p w14:paraId="7BC4173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采购清单参数要求</w:t>
            </w:r>
          </w:p>
        </w:tc>
      </w:tr>
      <w:tr w14:paraId="184E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43BC">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F91">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线缆与管槽敷设端接费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74B">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EF2">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点</w:t>
            </w:r>
          </w:p>
        </w:tc>
        <w:tc>
          <w:tcPr>
            <w:tcW w:w="4500" w:type="dxa"/>
            <w:tcBorders>
              <w:top w:val="single" w:color="000000" w:sz="4" w:space="0"/>
              <w:left w:val="single" w:color="000000" w:sz="4" w:space="0"/>
              <w:bottom w:val="single" w:color="000000" w:sz="4" w:space="0"/>
              <w:right w:val="single" w:color="000000" w:sz="4" w:space="0"/>
            </w:tcBorders>
          </w:tcPr>
          <w:p w14:paraId="1B8E168F">
            <w:pPr>
              <w:widowControl/>
              <w:spacing w:line="360" w:lineRule="auto"/>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技术参数详见2.</w:t>
            </w:r>
            <w:r>
              <w:rPr>
                <w:rFonts w:hint="eastAsia" w:cs="宋体" w:asciiTheme="minorEastAsia" w:hAnsiTheme="minorEastAsia" w:eastAsiaTheme="minorEastAsia"/>
                <w:bCs/>
                <w:color w:val="000000"/>
                <w:kern w:val="0"/>
                <w:sz w:val="24"/>
                <w:lang w:val="en-US" w:eastAsia="zh-CN"/>
              </w:rPr>
              <w:t>1</w:t>
            </w:r>
            <w:r>
              <w:rPr>
                <w:rFonts w:hint="eastAsia" w:cs="宋体" w:asciiTheme="minorEastAsia" w:hAnsiTheme="minorEastAsia" w:eastAsiaTheme="minorEastAsia"/>
                <w:bCs/>
                <w:color w:val="000000"/>
                <w:kern w:val="0"/>
                <w:sz w:val="24"/>
              </w:rPr>
              <w:t xml:space="preserve"> 采购清单参数要求</w:t>
            </w:r>
          </w:p>
        </w:tc>
      </w:tr>
    </w:tbl>
    <w:p w14:paraId="20213ABB">
      <w:pPr>
        <w:widowControl/>
        <w:spacing w:line="360" w:lineRule="auto"/>
        <w:jc w:val="left"/>
        <w:rPr>
          <w:rFonts w:cs="宋体" w:asciiTheme="minorEastAsia" w:hAnsiTheme="minorEastAsia" w:eastAsiaTheme="minorEastAsia"/>
          <w:bCs/>
          <w:color w:val="000000"/>
          <w:kern w:val="0"/>
          <w:sz w:val="24"/>
        </w:rPr>
      </w:pPr>
    </w:p>
    <w:p w14:paraId="717F7F5B">
      <w:pPr>
        <w:widowControl/>
        <w:spacing w:line="360" w:lineRule="auto"/>
        <w:jc w:val="left"/>
        <w:rPr>
          <w:rFonts w:cs="宋体" w:asciiTheme="minorEastAsia" w:hAnsiTheme="minorEastAsia" w:eastAsiaTheme="minorEastAsia"/>
          <w:bCs/>
          <w:color w:val="000000"/>
          <w:kern w:val="0"/>
          <w:sz w:val="24"/>
        </w:rPr>
      </w:pPr>
    </w:p>
    <w:p w14:paraId="24C8183A">
      <w:pPr>
        <w:widowControl/>
        <w:spacing w:line="360" w:lineRule="auto"/>
        <w:jc w:val="left"/>
        <w:rPr>
          <w:rFonts w:cs="宋体" w:asciiTheme="minorEastAsia" w:hAnsiTheme="minorEastAsia" w:eastAsiaTheme="minorEastAsia"/>
          <w:bCs/>
          <w:color w:val="000000"/>
          <w:kern w:val="0"/>
          <w:sz w:val="24"/>
        </w:rPr>
      </w:pPr>
      <w:r>
        <w:rPr>
          <w:rFonts w:cs="宋体" w:asciiTheme="minorEastAsia" w:hAnsiTheme="minorEastAsia" w:eastAsiaTheme="minorEastAsia"/>
          <w:bCs/>
          <w:color w:val="000000"/>
          <w:kern w:val="0"/>
          <w:sz w:val="24"/>
        </w:rPr>
        <w:t>2.</w:t>
      </w:r>
      <w:r>
        <w:rPr>
          <w:rFonts w:hint="eastAsia" w:cs="宋体" w:asciiTheme="minorEastAsia" w:hAnsiTheme="minorEastAsia" w:eastAsiaTheme="minorEastAsia"/>
          <w:bCs/>
          <w:color w:val="000000"/>
          <w:kern w:val="0"/>
          <w:sz w:val="24"/>
          <w:lang w:val="en-US" w:eastAsia="zh-CN"/>
        </w:rPr>
        <w:t>1</w:t>
      </w:r>
      <w:r>
        <w:rPr>
          <w:rFonts w:cs="宋体" w:asciiTheme="minorEastAsia" w:hAnsiTheme="minorEastAsia" w:eastAsiaTheme="minorEastAsia"/>
          <w:bCs/>
          <w:color w:val="000000"/>
          <w:kern w:val="0"/>
          <w:sz w:val="24"/>
        </w:rPr>
        <w:t>采购清单参数要求</w:t>
      </w:r>
    </w:p>
    <w:tbl>
      <w:tblPr>
        <w:tblStyle w:val="15"/>
        <w:tblW w:w="9437" w:type="dxa"/>
        <w:jc w:val="center"/>
        <w:tblLayout w:type="autofit"/>
        <w:tblCellMar>
          <w:top w:w="0" w:type="dxa"/>
          <w:left w:w="108" w:type="dxa"/>
          <w:bottom w:w="0" w:type="dxa"/>
          <w:right w:w="108" w:type="dxa"/>
        </w:tblCellMar>
      </w:tblPr>
      <w:tblGrid>
        <w:gridCol w:w="775"/>
        <w:gridCol w:w="1380"/>
        <w:gridCol w:w="6570"/>
        <w:gridCol w:w="712"/>
      </w:tblGrid>
      <w:tr w14:paraId="560A71C4">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5C81F2F9">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lang w:val="zh-CN"/>
              </w:rPr>
              <w:t>序号</w:t>
            </w:r>
          </w:p>
        </w:tc>
        <w:tc>
          <w:tcPr>
            <w:tcW w:w="1380" w:type="dxa"/>
            <w:tcBorders>
              <w:top w:val="single" w:color="auto" w:sz="6" w:space="0"/>
              <w:left w:val="single" w:color="auto" w:sz="6" w:space="0"/>
              <w:bottom w:val="single" w:color="auto" w:sz="6" w:space="0"/>
              <w:right w:val="single" w:color="auto" w:sz="6" w:space="0"/>
            </w:tcBorders>
            <w:vAlign w:val="center"/>
          </w:tcPr>
          <w:p w14:paraId="0D0454EA">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名称</w:t>
            </w:r>
          </w:p>
        </w:tc>
        <w:tc>
          <w:tcPr>
            <w:tcW w:w="6570" w:type="dxa"/>
            <w:tcBorders>
              <w:top w:val="single" w:color="auto" w:sz="6" w:space="0"/>
              <w:left w:val="single" w:color="auto" w:sz="6" w:space="0"/>
              <w:bottom w:val="single" w:color="auto" w:sz="6" w:space="0"/>
              <w:right w:val="single" w:color="auto" w:sz="6" w:space="0"/>
            </w:tcBorders>
            <w:vAlign w:val="center"/>
          </w:tcPr>
          <w:p w14:paraId="0CA340C5">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参数要求</w:t>
            </w:r>
          </w:p>
        </w:tc>
        <w:tc>
          <w:tcPr>
            <w:tcW w:w="712" w:type="dxa"/>
            <w:tcBorders>
              <w:top w:val="single" w:color="auto" w:sz="6" w:space="0"/>
              <w:left w:val="single" w:color="auto" w:sz="6" w:space="0"/>
              <w:bottom w:val="single" w:color="auto" w:sz="6" w:space="0"/>
              <w:right w:val="single" w:color="auto" w:sz="6" w:space="0"/>
            </w:tcBorders>
            <w:vAlign w:val="center"/>
          </w:tcPr>
          <w:p w14:paraId="6FE36659">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备注</w:t>
            </w:r>
          </w:p>
        </w:tc>
      </w:tr>
      <w:tr w14:paraId="2DF44085">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2A98D285">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1</w:t>
            </w:r>
          </w:p>
        </w:tc>
        <w:tc>
          <w:tcPr>
            <w:tcW w:w="1380" w:type="dxa"/>
            <w:tcBorders>
              <w:top w:val="single" w:color="auto" w:sz="6" w:space="0"/>
              <w:left w:val="single" w:color="auto" w:sz="6" w:space="0"/>
              <w:bottom w:val="single" w:color="auto" w:sz="6" w:space="0"/>
              <w:right w:val="single" w:color="auto" w:sz="6" w:space="0"/>
            </w:tcBorders>
            <w:vAlign w:val="center"/>
          </w:tcPr>
          <w:p w14:paraId="4B1D70D1">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六类非屏蔽双绞线</w:t>
            </w:r>
          </w:p>
        </w:tc>
        <w:tc>
          <w:tcPr>
            <w:tcW w:w="6570" w:type="dxa"/>
            <w:tcBorders>
              <w:top w:val="single" w:color="auto" w:sz="6" w:space="0"/>
              <w:left w:val="single" w:color="auto" w:sz="6" w:space="0"/>
              <w:bottom w:val="single" w:color="auto" w:sz="6" w:space="0"/>
              <w:right w:val="single" w:color="auto" w:sz="6" w:space="0"/>
            </w:tcBorders>
          </w:tcPr>
          <w:p w14:paraId="02DEFCB1">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A.传输性能参数满足ISO/IEC 11801、TIA/EIA 568、IEC61156-5对于六类信道Cat6/Class E的国际标准；满足250MHz 的测试要求；</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B.LANmark-6系列其测试频率可达 350MHz；</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C.导体规格：23AWG；</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D.六类线C3中心十字芯骨架以保证安装过程中不破坏双绞线绞距；</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E.传输延时：≤534+36/√f  ns/100m；</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F.延时差：≤45 ns/100m；</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G.绝缘阻抗≥5000MΩ*km；</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 xml:space="preserve">H.护套可选： </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-PVC：阻燃满足IEC 60332-1标准；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I.具有信息产业信息传输线质量监督检验中心关于六类线缆传输性能、六连接信道及燃烧性能测试报告；</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J.最小弯曲半径：25mm（操作），50mm（安装）；</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L.最大拉力：100N；</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M.阻抗（Ohm） 100±15；</w:t>
            </w:r>
          </w:p>
        </w:tc>
        <w:tc>
          <w:tcPr>
            <w:tcW w:w="712" w:type="dxa"/>
            <w:tcBorders>
              <w:top w:val="single" w:color="auto" w:sz="6" w:space="0"/>
              <w:left w:val="single" w:color="auto" w:sz="6" w:space="0"/>
              <w:bottom w:val="single" w:color="auto" w:sz="6" w:space="0"/>
              <w:right w:val="single" w:color="auto" w:sz="6" w:space="0"/>
            </w:tcBorders>
            <w:vAlign w:val="center"/>
          </w:tcPr>
          <w:p w14:paraId="4B559A36">
            <w:pPr>
              <w:widowControl/>
              <w:spacing w:line="360" w:lineRule="auto"/>
              <w:jc w:val="left"/>
              <w:rPr>
                <w:rFonts w:cs="宋体" w:asciiTheme="minorEastAsia" w:hAnsiTheme="minorEastAsia" w:eastAsiaTheme="minorEastAsia"/>
                <w:bCs/>
                <w:color w:val="000000"/>
                <w:kern w:val="0"/>
                <w:sz w:val="24"/>
              </w:rPr>
            </w:pPr>
          </w:p>
        </w:tc>
      </w:tr>
      <w:tr w14:paraId="57123E6C">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7A26683B">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2</w:t>
            </w:r>
          </w:p>
        </w:tc>
        <w:tc>
          <w:tcPr>
            <w:tcW w:w="1380" w:type="dxa"/>
            <w:tcBorders>
              <w:top w:val="single" w:color="auto" w:sz="6" w:space="0"/>
              <w:left w:val="single" w:color="auto" w:sz="6" w:space="0"/>
              <w:bottom w:val="single" w:color="auto" w:sz="6" w:space="0"/>
              <w:right w:val="single" w:color="auto" w:sz="6" w:space="0"/>
            </w:tcBorders>
            <w:vAlign w:val="center"/>
          </w:tcPr>
          <w:p w14:paraId="0CF47343">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六类非屏蔽模块</w:t>
            </w:r>
          </w:p>
        </w:tc>
        <w:tc>
          <w:tcPr>
            <w:tcW w:w="6570" w:type="dxa"/>
            <w:tcBorders>
              <w:top w:val="single" w:color="auto" w:sz="6" w:space="0"/>
              <w:left w:val="single" w:color="auto" w:sz="6" w:space="0"/>
              <w:bottom w:val="single" w:color="auto" w:sz="6" w:space="0"/>
              <w:right w:val="single" w:color="auto" w:sz="6" w:space="0"/>
            </w:tcBorders>
          </w:tcPr>
          <w:p w14:paraId="1B876D52">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A.符合 ISO/IEC 11801以及 EIA/TIA 568中对 Class E/Cat 6 的规定；测试带宽可达350MHz</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B.采用免打线设计，无需打线工具即可快速安装；</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C.SNAP-IN接口安装更快速和方便；</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D.模块自带十字隔离安装尾盖以避免端接时开绞过大；</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E.模块可满足从22AWG~24AWG，24AWG~27AWG线缆的端接；</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F.模块上具有标示码提供追溯查询；</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G.颜色编码：568A 和 568B；</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H.模块可端接 22~24AWG的电缆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I.UL 认证；</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J.支持POE+ 应用，每对线可传输15W功率；IEEE802.3bt (POE++)，支持POE++ 应用，每对线可传输20W功率</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K.非屏蔽可选择彩色模块；</w:t>
            </w:r>
          </w:p>
        </w:tc>
        <w:tc>
          <w:tcPr>
            <w:tcW w:w="712" w:type="dxa"/>
            <w:tcBorders>
              <w:top w:val="single" w:color="auto" w:sz="6" w:space="0"/>
              <w:left w:val="single" w:color="auto" w:sz="6" w:space="0"/>
              <w:bottom w:val="single" w:color="auto" w:sz="6" w:space="0"/>
              <w:right w:val="single" w:color="auto" w:sz="6" w:space="0"/>
            </w:tcBorders>
            <w:vAlign w:val="center"/>
          </w:tcPr>
          <w:p w14:paraId="01B8D0E3">
            <w:pPr>
              <w:widowControl/>
              <w:spacing w:line="360" w:lineRule="auto"/>
              <w:jc w:val="left"/>
              <w:rPr>
                <w:rFonts w:cs="宋体" w:asciiTheme="minorEastAsia" w:hAnsiTheme="minorEastAsia" w:eastAsiaTheme="minorEastAsia"/>
                <w:bCs/>
                <w:color w:val="000000"/>
                <w:kern w:val="0"/>
                <w:sz w:val="24"/>
              </w:rPr>
            </w:pPr>
          </w:p>
        </w:tc>
      </w:tr>
      <w:tr w14:paraId="2FB15C81">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44B7AF9A">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3</w:t>
            </w:r>
          </w:p>
        </w:tc>
        <w:tc>
          <w:tcPr>
            <w:tcW w:w="1380" w:type="dxa"/>
            <w:tcBorders>
              <w:top w:val="single" w:color="auto" w:sz="6" w:space="0"/>
              <w:left w:val="single" w:color="auto" w:sz="6" w:space="0"/>
              <w:bottom w:val="single" w:color="auto" w:sz="6" w:space="0"/>
              <w:right w:val="single" w:color="auto" w:sz="6" w:space="0"/>
            </w:tcBorders>
            <w:vAlign w:val="center"/>
          </w:tcPr>
          <w:p w14:paraId="52E66191">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24口配线架</w:t>
            </w:r>
          </w:p>
        </w:tc>
        <w:tc>
          <w:tcPr>
            <w:tcW w:w="6570" w:type="dxa"/>
            <w:tcBorders>
              <w:top w:val="single" w:color="auto" w:sz="6" w:space="0"/>
              <w:left w:val="single" w:color="auto" w:sz="6" w:space="0"/>
              <w:bottom w:val="single" w:color="auto" w:sz="6" w:space="0"/>
              <w:right w:val="single" w:color="auto" w:sz="6" w:space="0"/>
            </w:tcBorders>
            <w:vAlign w:val="center"/>
          </w:tcPr>
          <w:p w14:paraId="0518D678">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A.结构类型：固定式</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B.带自动接地结构</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C.24xRJ45模块化结构，端口自带翻盖式防尘盖，防尘盖可配置多种颜色,可与面板防尘盖通用；</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D.支持屏蔽/非屏蔽模块混配，支持Cat.5e，Cat.6，Cat.6a，Cat.7，Cat7a，cat8类模块混配；</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E.配线架后端采用卡槽式结构的理线器，保证每根进线的弯曲半径；</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F.可安装于 19"机架或机柜；</w:t>
            </w:r>
          </w:p>
        </w:tc>
        <w:tc>
          <w:tcPr>
            <w:tcW w:w="712" w:type="dxa"/>
            <w:tcBorders>
              <w:top w:val="single" w:color="auto" w:sz="6" w:space="0"/>
              <w:left w:val="single" w:color="auto" w:sz="6" w:space="0"/>
              <w:bottom w:val="single" w:color="auto" w:sz="6" w:space="0"/>
              <w:right w:val="single" w:color="auto" w:sz="6" w:space="0"/>
            </w:tcBorders>
            <w:vAlign w:val="center"/>
          </w:tcPr>
          <w:p w14:paraId="34C0757C">
            <w:pPr>
              <w:widowControl/>
              <w:spacing w:line="360" w:lineRule="auto"/>
              <w:jc w:val="left"/>
              <w:rPr>
                <w:rFonts w:cs="宋体" w:asciiTheme="minorEastAsia" w:hAnsiTheme="minorEastAsia" w:eastAsiaTheme="minorEastAsia"/>
                <w:bCs/>
                <w:color w:val="000000"/>
                <w:kern w:val="0"/>
                <w:sz w:val="24"/>
              </w:rPr>
            </w:pPr>
          </w:p>
        </w:tc>
      </w:tr>
      <w:tr w14:paraId="45FCADDD">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643E3374">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4</w:t>
            </w:r>
          </w:p>
        </w:tc>
        <w:tc>
          <w:tcPr>
            <w:tcW w:w="1380" w:type="dxa"/>
            <w:tcBorders>
              <w:top w:val="single" w:color="auto" w:sz="6" w:space="0"/>
              <w:left w:val="single" w:color="auto" w:sz="6" w:space="0"/>
              <w:bottom w:val="single" w:color="auto" w:sz="6" w:space="0"/>
              <w:right w:val="single" w:color="auto" w:sz="6" w:space="0"/>
            </w:tcBorders>
            <w:vAlign w:val="center"/>
          </w:tcPr>
          <w:p w14:paraId="055777B3">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理线器</w:t>
            </w:r>
          </w:p>
        </w:tc>
        <w:tc>
          <w:tcPr>
            <w:tcW w:w="6570" w:type="dxa"/>
            <w:tcBorders>
              <w:top w:val="single" w:color="auto" w:sz="6" w:space="0"/>
              <w:left w:val="single" w:color="auto" w:sz="6" w:space="0"/>
              <w:bottom w:val="single" w:color="auto" w:sz="6" w:space="0"/>
              <w:right w:val="single" w:color="auto" w:sz="6" w:space="0"/>
            </w:tcBorders>
            <w:vAlign w:val="center"/>
          </w:tcPr>
          <w:p w14:paraId="0F93F45B">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A.标准19英寸安装。</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 xml:space="preserve">B.跳线导线架可以整齐的放入线缆 </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光纤跳线和铜缆跳线通用导线架</w:t>
            </w:r>
          </w:p>
        </w:tc>
        <w:tc>
          <w:tcPr>
            <w:tcW w:w="712" w:type="dxa"/>
            <w:tcBorders>
              <w:top w:val="single" w:color="auto" w:sz="6" w:space="0"/>
              <w:left w:val="single" w:color="auto" w:sz="6" w:space="0"/>
              <w:bottom w:val="single" w:color="auto" w:sz="6" w:space="0"/>
              <w:right w:val="single" w:color="auto" w:sz="6" w:space="0"/>
            </w:tcBorders>
            <w:vAlign w:val="center"/>
          </w:tcPr>
          <w:p w14:paraId="23099BB3">
            <w:pPr>
              <w:widowControl/>
              <w:spacing w:line="360" w:lineRule="auto"/>
              <w:jc w:val="left"/>
              <w:rPr>
                <w:rFonts w:cs="宋体" w:asciiTheme="minorEastAsia" w:hAnsiTheme="minorEastAsia" w:eastAsiaTheme="minorEastAsia"/>
                <w:bCs/>
                <w:color w:val="000000"/>
                <w:kern w:val="0"/>
                <w:sz w:val="24"/>
              </w:rPr>
            </w:pPr>
          </w:p>
        </w:tc>
      </w:tr>
      <w:tr w14:paraId="797BEBAB">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7DE101AE">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5</w:t>
            </w:r>
          </w:p>
        </w:tc>
        <w:tc>
          <w:tcPr>
            <w:tcW w:w="1380" w:type="dxa"/>
            <w:tcBorders>
              <w:top w:val="single" w:color="auto" w:sz="6" w:space="0"/>
              <w:left w:val="single" w:color="auto" w:sz="6" w:space="0"/>
              <w:bottom w:val="single" w:color="auto" w:sz="6" w:space="0"/>
              <w:right w:val="single" w:color="auto" w:sz="6" w:space="0"/>
            </w:tcBorders>
            <w:vAlign w:val="center"/>
          </w:tcPr>
          <w:p w14:paraId="665DDCFD">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六类非屏蔽跳线1米</w:t>
            </w:r>
          </w:p>
        </w:tc>
        <w:tc>
          <w:tcPr>
            <w:tcW w:w="6570" w:type="dxa"/>
            <w:tcBorders>
              <w:top w:val="single" w:color="auto" w:sz="6" w:space="0"/>
              <w:left w:val="single" w:color="auto" w:sz="6" w:space="0"/>
              <w:bottom w:val="single" w:color="auto" w:sz="6" w:space="0"/>
              <w:right w:val="single" w:color="auto" w:sz="6" w:space="0"/>
            </w:tcBorders>
            <w:vAlign w:val="center"/>
          </w:tcPr>
          <w:p w14:paraId="1B41EE6D">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A.铜缆跳线完全满足 ISO/IEC 11801 和 TIA/EIA 568跳线及信道性能的需求，保证了整个信道的传输；</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B.提供Cat 6性能等级，满足相应等级的所有应用；</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C.采用了一种长尾结构的注塑尾盖，以支持机架空间内的端口高密度跳接；</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D.跳线尾盖上有一个可拆卸的压盖，该压盖有多重颜色可选，可支持彩色化管理；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E.高可靠性 RJ45 连接器，符合 ISO 8877 标准；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F.支持高密度跳接；</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 xml:space="preserve">G.特殊设计的内部芯线管理，自锁式连接器； </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H.CAT6A提供非屏蔽和屏蔽跳线，CAT6A跳线采用U/FTP和U/UTP结构，导体为26AWG</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I.采用LSZH类型护套；</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J.可订制多种色彩跳线，使得安装维护更加方便；</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K.连接器尾盖具有应力消除装置；</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L.低烟满足 IEC 61034-2；</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M.阻燃满足IEC 60332-1；</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N.无卤满足 IEC 60754-1&amp;2；</w:t>
            </w:r>
          </w:p>
        </w:tc>
        <w:tc>
          <w:tcPr>
            <w:tcW w:w="712" w:type="dxa"/>
            <w:tcBorders>
              <w:top w:val="single" w:color="auto" w:sz="6" w:space="0"/>
              <w:left w:val="single" w:color="auto" w:sz="6" w:space="0"/>
              <w:bottom w:val="single" w:color="auto" w:sz="6" w:space="0"/>
              <w:right w:val="single" w:color="auto" w:sz="6" w:space="0"/>
            </w:tcBorders>
            <w:vAlign w:val="center"/>
          </w:tcPr>
          <w:p w14:paraId="73E2A92B">
            <w:pPr>
              <w:widowControl/>
              <w:spacing w:line="360" w:lineRule="auto"/>
              <w:jc w:val="left"/>
              <w:rPr>
                <w:rFonts w:cs="宋体" w:asciiTheme="minorEastAsia" w:hAnsiTheme="minorEastAsia" w:eastAsiaTheme="minorEastAsia"/>
                <w:bCs/>
                <w:color w:val="000000"/>
                <w:kern w:val="0"/>
                <w:sz w:val="24"/>
              </w:rPr>
            </w:pPr>
          </w:p>
        </w:tc>
      </w:tr>
      <w:tr w14:paraId="1598C014">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37F1990B">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6</w:t>
            </w:r>
          </w:p>
        </w:tc>
        <w:tc>
          <w:tcPr>
            <w:tcW w:w="1380" w:type="dxa"/>
            <w:tcBorders>
              <w:top w:val="single" w:color="auto" w:sz="6" w:space="0"/>
              <w:left w:val="single" w:color="auto" w:sz="6" w:space="0"/>
              <w:bottom w:val="single" w:color="auto" w:sz="6" w:space="0"/>
              <w:right w:val="single" w:color="auto" w:sz="6" w:space="0"/>
            </w:tcBorders>
            <w:vAlign w:val="center"/>
          </w:tcPr>
          <w:p w14:paraId="09853033">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明装底盒</w:t>
            </w:r>
          </w:p>
        </w:tc>
        <w:tc>
          <w:tcPr>
            <w:tcW w:w="6570" w:type="dxa"/>
            <w:tcBorders>
              <w:top w:val="single" w:color="auto" w:sz="6" w:space="0"/>
              <w:left w:val="single" w:color="auto" w:sz="6" w:space="0"/>
              <w:bottom w:val="single" w:color="auto" w:sz="6" w:space="0"/>
              <w:right w:val="single" w:color="auto" w:sz="6" w:space="0"/>
            </w:tcBorders>
            <w:vAlign w:val="center"/>
          </w:tcPr>
          <w:p w14:paraId="64E9DF21">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PVC材质，86*86*34mm</w:t>
            </w:r>
          </w:p>
        </w:tc>
        <w:tc>
          <w:tcPr>
            <w:tcW w:w="712" w:type="dxa"/>
            <w:tcBorders>
              <w:top w:val="single" w:color="auto" w:sz="6" w:space="0"/>
              <w:left w:val="single" w:color="auto" w:sz="6" w:space="0"/>
              <w:bottom w:val="single" w:color="auto" w:sz="6" w:space="0"/>
              <w:right w:val="single" w:color="auto" w:sz="6" w:space="0"/>
            </w:tcBorders>
            <w:vAlign w:val="center"/>
          </w:tcPr>
          <w:p w14:paraId="2537BBC4">
            <w:pPr>
              <w:widowControl/>
              <w:spacing w:line="360" w:lineRule="auto"/>
              <w:jc w:val="left"/>
              <w:rPr>
                <w:rFonts w:cs="宋体" w:asciiTheme="minorEastAsia" w:hAnsiTheme="minorEastAsia" w:eastAsiaTheme="minorEastAsia"/>
                <w:bCs/>
                <w:color w:val="000000"/>
                <w:kern w:val="0"/>
                <w:sz w:val="24"/>
              </w:rPr>
            </w:pPr>
          </w:p>
        </w:tc>
      </w:tr>
      <w:tr w14:paraId="68EE268C">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615385BD">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7</w:t>
            </w:r>
          </w:p>
        </w:tc>
        <w:tc>
          <w:tcPr>
            <w:tcW w:w="1380" w:type="dxa"/>
            <w:tcBorders>
              <w:top w:val="single" w:color="auto" w:sz="6" w:space="0"/>
              <w:left w:val="single" w:color="auto" w:sz="6" w:space="0"/>
              <w:bottom w:val="single" w:color="auto" w:sz="6" w:space="0"/>
              <w:right w:val="single" w:color="auto" w:sz="6" w:space="0"/>
            </w:tcBorders>
            <w:vAlign w:val="center"/>
          </w:tcPr>
          <w:p w14:paraId="0F9EA6A2">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PVC线槽</w:t>
            </w:r>
          </w:p>
        </w:tc>
        <w:tc>
          <w:tcPr>
            <w:tcW w:w="6570" w:type="dxa"/>
            <w:tcBorders>
              <w:top w:val="single" w:color="auto" w:sz="6" w:space="0"/>
              <w:left w:val="single" w:color="auto" w:sz="6" w:space="0"/>
              <w:bottom w:val="single" w:color="auto" w:sz="6" w:space="0"/>
              <w:right w:val="single" w:color="auto" w:sz="6" w:space="0"/>
            </w:tcBorders>
            <w:vAlign w:val="center"/>
          </w:tcPr>
          <w:p w14:paraId="28356AF6">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阻燃线槽：24*14mm、39*19mm，含安装配件</w:t>
            </w:r>
          </w:p>
        </w:tc>
        <w:tc>
          <w:tcPr>
            <w:tcW w:w="712" w:type="dxa"/>
            <w:tcBorders>
              <w:top w:val="single" w:color="auto" w:sz="6" w:space="0"/>
              <w:left w:val="single" w:color="auto" w:sz="6" w:space="0"/>
              <w:bottom w:val="single" w:color="auto" w:sz="6" w:space="0"/>
              <w:right w:val="single" w:color="auto" w:sz="6" w:space="0"/>
            </w:tcBorders>
            <w:vAlign w:val="center"/>
          </w:tcPr>
          <w:p w14:paraId="1786CA56">
            <w:pPr>
              <w:widowControl/>
              <w:spacing w:line="360" w:lineRule="auto"/>
              <w:jc w:val="left"/>
              <w:rPr>
                <w:rFonts w:cs="宋体" w:asciiTheme="minorEastAsia" w:hAnsiTheme="minorEastAsia" w:eastAsiaTheme="minorEastAsia"/>
                <w:bCs/>
                <w:color w:val="000000"/>
                <w:kern w:val="0"/>
                <w:sz w:val="24"/>
              </w:rPr>
            </w:pPr>
          </w:p>
        </w:tc>
      </w:tr>
      <w:tr w14:paraId="1F2799FF">
        <w:tblPrEx>
          <w:tblCellMar>
            <w:top w:w="0" w:type="dxa"/>
            <w:left w:w="108" w:type="dxa"/>
            <w:bottom w:w="0" w:type="dxa"/>
            <w:right w:w="108" w:type="dxa"/>
          </w:tblCellMar>
        </w:tblPrEx>
        <w:trPr>
          <w:trHeight w:val="463" w:hRule="atLeast"/>
          <w:jc w:val="center"/>
        </w:trPr>
        <w:tc>
          <w:tcPr>
            <w:tcW w:w="775" w:type="dxa"/>
            <w:tcBorders>
              <w:top w:val="single" w:color="auto" w:sz="6" w:space="0"/>
              <w:left w:val="single" w:color="auto" w:sz="6" w:space="0"/>
              <w:bottom w:val="single" w:color="auto" w:sz="6" w:space="0"/>
              <w:right w:val="single" w:color="auto" w:sz="6" w:space="0"/>
            </w:tcBorders>
            <w:vAlign w:val="center"/>
          </w:tcPr>
          <w:p w14:paraId="24644C82">
            <w:pPr>
              <w:widowControl/>
              <w:spacing w:line="360" w:lineRule="auto"/>
              <w:jc w:val="left"/>
              <w:rPr>
                <w:rFonts w:cs="宋体" w:asciiTheme="minorEastAsia" w:hAnsiTheme="minorEastAsia" w:eastAsiaTheme="minorEastAsia"/>
                <w:bCs/>
                <w:color w:val="000000"/>
                <w:kern w:val="0"/>
                <w:sz w:val="24"/>
                <w:lang w:val="zh-CN"/>
              </w:rPr>
            </w:pPr>
            <w:r>
              <w:rPr>
                <w:rFonts w:cs="宋体" w:asciiTheme="minorEastAsia" w:hAnsiTheme="minorEastAsia" w:eastAsiaTheme="minorEastAsia"/>
                <w:bCs/>
                <w:color w:val="000000"/>
                <w:kern w:val="0"/>
                <w:sz w:val="24"/>
                <w:lang w:val="zh-CN"/>
              </w:rPr>
              <w:t>8</w:t>
            </w:r>
          </w:p>
        </w:tc>
        <w:tc>
          <w:tcPr>
            <w:tcW w:w="1380" w:type="dxa"/>
            <w:tcBorders>
              <w:top w:val="single" w:color="auto" w:sz="6" w:space="0"/>
              <w:left w:val="single" w:color="auto" w:sz="6" w:space="0"/>
              <w:bottom w:val="single" w:color="auto" w:sz="6" w:space="0"/>
              <w:right w:val="single" w:color="auto" w:sz="6" w:space="0"/>
            </w:tcBorders>
            <w:vAlign w:val="center"/>
          </w:tcPr>
          <w:p w14:paraId="67767042">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线缆与管槽敷设端接费</w:t>
            </w:r>
          </w:p>
        </w:tc>
        <w:tc>
          <w:tcPr>
            <w:tcW w:w="6570" w:type="dxa"/>
            <w:tcBorders>
              <w:top w:val="single" w:color="auto" w:sz="6" w:space="0"/>
              <w:left w:val="single" w:color="auto" w:sz="6" w:space="0"/>
              <w:bottom w:val="single" w:color="auto" w:sz="6" w:space="0"/>
              <w:right w:val="single" w:color="auto" w:sz="6" w:space="0"/>
            </w:tcBorders>
            <w:vAlign w:val="center"/>
          </w:tcPr>
          <w:p w14:paraId="499D6F50">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含线缆敷设、辅材、无线设备安装调试</w:t>
            </w:r>
          </w:p>
        </w:tc>
        <w:tc>
          <w:tcPr>
            <w:tcW w:w="712" w:type="dxa"/>
            <w:tcBorders>
              <w:top w:val="single" w:color="auto" w:sz="6" w:space="0"/>
              <w:left w:val="single" w:color="auto" w:sz="6" w:space="0"/>
              <w:bottom w:val="single" w:color="auto" w:sz="6" w:space="0"/>
              <w:right w:val="single" w:color="auto" w:sz="6" w:space="0"/>
            </w:tcBorders>
            <w:vAlign w:val="center"/>
          </w:tcPr>
          <w:p w14:paraId="01C3ECA6">
            <w:pPr>
              <w:widowControl/>
              <w:spacing w:line="360" w:lineRule="auto"/>
              <w:jc w:val="left"/>
              <w:rPr>
                <w:rFonts w:cs="宋体" w:asciiTheme="minorEastAsia" w:hAnsiTheme="minorEastAsia" w:eastAsiaTheme="minorEastAsia"/>
                <w:bCs/>
                <w:color w:val="000000"/>
                <w:kern w:val="0"/>
                <w:sz w:val="24"/>
              </w:rPr>
            </w:pPr>
          </w:p>
        </w:tc>
      </w:tr>
    </w:tbl>
    <w:p w14:paraId="5EA523FD">
      <w:pPr>
        <w:widowControl/>
        <w:spacing w:line="360" w:lineRule="auto"/>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xml:space="preserve">    投标人除对上述列表内容进行响应外，还需对标的物交货期、交货地点、付款方式、项目验收、</w:t>
      </w:r>
      <w:r>
        <w:rPr>
          <w:rFonts w:hint="eastAsia" w:asciiTheme="minorEastAsia" w:hAnsiTheme="minorEastAsia" w:eastAsiaTheme="minorEastAsia"/>
          <w:bCs/>
          <w:sz w:val="24"/>
        </w:rPr>
        <w:t>其它要求及说明</w:t>
      </w:r>
      <w:r>
        <w:rPr>
          <w:rFonts w:hint="eastAsia" w:cs="宋体" w:asciiTheme="minorEastAsia" w:hAnsiTheme="minorEastAsia" w:eastAsiaTheme="minorEastAsia"/>
          <w:bCs/>
          <w:color w:val="000000"/>
          <w:kern w:val="0"/>
          <w:sz w:val="24"/>
        </w:rPr>
        <w:t>等内容进行响应。</w:t>
      </w:r>
    </w:p>
    <w:p w14:paraId="5493367D">
      <w:pPr>
        <w:widowControl/>
        <w:spacing w:line="360" w:lineRule="auto"/>
        <w:jc w:val="left"/>
        <w:outlineLvl w:val="0"/>
        <w:rPr>
          <w:rFonts w:cs="宋体" w:asciiTheme="minorEastAsia" w:hAnsiTheme="minorEastAsia" w:eastAsiaTheme="minorEastAsia"/>
          <w:b/>
          <w:bCs w:val="0"/>
          <w:color w:val="000000"/>
          <w:kern w:val="0"/>
          <w:sz w:val="24"/>
        </w:rPr>
      </w:pPr>
      <w:r>
        <w:rPr>
          <w:rFonts w:cs="宋体" w:asciiTheme="minorEastAsia" w:hAnsiTheme="minorEastAsia" w:eastAsiaTheme="minorEastAsia"/>
          <w:b/>
          <w:bCs w:val="0"/>
          <w:color w:val="000000"/>
          <w:kern w:val="0"/>
          <w:sz w:val="24"/>
        </w:rPr>
        <w:t>三、报价人资格（报名时提供报价人盖章的相关证明材料复印件）：</w:t>
      </w:r>
    </w:p>
    <w:p w14:paraId="2C177678">
      <w:pPr>
        <w:widowControl/>
        <w:shd w:val="clear" w:color="auto" w:fill="FFFFFF"/>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r>
        <w:rPr>
          <w:rFonts w:cs="宋体" w:asciiTheme="minorEastAsia" w:hAnsiTheme="minorEastAsia" w:eastAsiaTheme="minorEastAsia"/>
          <w:color w:val="000000"/>
          <w:kern w:val="0"/>
          <w:sz w:val="24"/>
        </w:rPr>
        <w:t>符合《政府采购法》第二十二条所规定的条件；</w:t>
      </w:r>
    </w:p>
    <w:p w14:paraId="55F9B6E3">
      <w:pPr>
        <w:widowControl/>
        <w:shd w:val="clear" w:color="auto" w:fill="FFFFFF"/>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r>
        <w:rPr>
          <w:rFonts w:cs="宋体" w:asciiTheme="minorEastAsia" w:hAnsiTheme="minorEastAsia" w:eastAsiaTheme="minorEastAsia"/>
          <w:color w:val="000000"/>
          <w:kern w:val="0"/>
          <w:sz w:val="24"/>
        </w:rPr>
        <w:t>必须是具有独立承担民事责任能力的在中华人民共和国境内注册的法人；分公司投标的，必须由具有法人资格的总公司授权。提供法人营业执照副本复印件</w:t>
      </w:r>
      <w:r>
        <w:rPr>
          <w:rFonts w:hint="eastAsia" w:cs="宋体" w:asciiTheme="minorEastAsia" w:hAnsiTheme="minorEastAsia" w:eastAsiaTheme="minorEastAsia"/>
          <w:color w:val="000000"/>
          <w:kern w:val="0"/>
          <w:sz w:val="24"/>
        </w:rPr>
        <w:t>；</w:t>
      </w:r>
    </w:p>
    <w:p w14:paraId="56C58971">
      <w:pPr>
        <w:widowControl/>
        <w:shd w:val="clear" w:color="auto" w:fill="FFFFFF"/>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r>
        <w:rPr>
          <w:rFonts w:cs="宋体" w:asciiTheme="minorEastAsia" w:hAnsiTheme="minorEastAsia" w:eastAsiaTheme="minorEastAsia"/>
          <w:color w:val="000000"/>
          <w:kern w:val="0"/>
          <w:sz w:val="24"/>
        </w:rPr>
        <w:t>本项目不接受联合体投标</w:t>
      </w:r>
      <w:r>
        <w:rPr>
          <w:rFonts w:hint="eastAsia" w:cs="宋体" w:asciiTheme="minorEastAsia" w:hAnsiTheme="minorEastAsia" w:eastAsiaTheme="minorEastAsia"/>
          <w:color w:val="000000"/>
          <w:kern w:val="0"/>
          <w:sz w:val="24"/>
        </w:rPr>
        <w:t>；</w:t>
      </w:r>
    </w:p>
    <w:p w14:paraId="33027FF4">
      <w:pPr>
        <w:spacing w:line="360" w:lineRule="auto"/>
        <w:ind w:firstLine="480" w:firstLineChars="200"/>
        <w:rPr>
          <w:rFonts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4、</w:t>
      </w:r>
      <w:r>
        <w:rPr>
          <w:rFonts w:cs="宋体" w:asciiTheme="minorEastAsia" w:hAnsiTheme="minorEastAsia" w:eastAsiaTheme="minorEastAsia"/>
          <w:color w:val="000000"/>
          <w:kern w:val="0"/>
          <w:sz w:val="24"/>
        </w:rPr>
        <w:t>供应商未被列入“信用中国”网站(www.creditchina.gov.cn)“记录失信被执行人或重大税收违法案件当事人名单或政府采购严重违法失信行为”记录名单；提供信用查询记录和证据截图复印件。</w:t>
      </w:r>
    </w:p>
    <w:p w14:paraId="51E2AFF3">
      <w:pPr>
        <w:spacing w:line="360" w:lineRule="auto"/>
        <w:outlineLvl w:val="0"/>
        <w:rPr>
          <w:rFonts w:asciiTheme="minorEastAsia" w:hAnsiTheme="minorEastAsia" w:eastAsiaTheme="minorEastAsia"/>
          <w:b/>
          <w:bCs w:val="0"/>
          <w:color w:val="000000"/>
          <w:sz w:val="24"/>
        </w:rPr>
      </w:pPr>
      <w:r>
        <w:rPr>
          <w:rFonts w:hint="eastAsia" w:asciiTheme="minorEastAsia" w:hAnsiTheme="minorEastAsia" w:eastAsiaTheme="minorEastAsia"/>
          <w:b/>
          <w:bCs w:val="0"/>
          <w:color w:val="000000"/>
          <w:sz w:val="24"/>
        </w:rPr>
        <w:t>四、项目总体要求</w:t>
      </w:r>
    </w:p>
    <w:p w14:paraId="3AA0AB99">
      <w:pPr>
        <w:widowControl w:val="0"/>
        <w:numPr>
          <w:ilvl w:val="2"/>
          <w:numId w:val="0"/>
        </w:numPr>
        <w:spacing w:before="120" w:after="120" w:line="360" w:lineRule="auto"/>
        <w:outlineLvl w:val="1"/>
        <w:rPr>
          <w:rFonts w:ascii="Times New Roman" w:hAnsi="Times New Roman" w:eastAsia="宋体" w:cs="Times New Roman"/>
          <w:b/>
          <w:sz w:val="24"/>
          <w:lang w:val="en-US" w:eastAsia="zh-CN" w:bidi="ar-SA"/>
        </w:rPr>
      </w:pPr>
      <w:r>
        <w:rPr>
          <w:rFonts w:ascii="Times New Roman" w:hAnsi="Times New Roman" w:eastAsia="宋体" w:cs="Times New Roman"/>
          <w:b/>
          <w:sz w:val="24"/>
          <w:lang w:val="en-US" w:eastAsia="zh-CN" w:bidi="ar-SA"/>
        </w:rPr>
        <w:t>1服务承诺</w:t>
      </w:r>
    </w:p>
    <w:p w14:paraId="1A8E8F9D">
      <w:pPr>
        <w:widowControl w:val="0"/>
        <w:spacing w:after="120" w:line="300" w:lineRule="auto"/>
        <w:ind w:firstLine="482" w:firstLineChars="200"/>
        <w:rPr>
          <w:rFonts w:ascii="Times New Roman" w:hAnsi="Times New Roman" w:eastAsia="宋体" w:cs="Times New Roman"/>
          <w:b/>
          <w:sz w:val="24"/>
          <w:lang w:val="en-US" w:eastAsia="zh-CN" w:bidi="ar-SA"/>
        </w:rPr>
      </w:pPr>
      <w:r>
        <w:rPr>
          <w:rFonts w:ascii="Times New Roman" w:hAnsi="Times New Roman" w:eastAsia="宋体" w:cs="Times New Roman"/>
          <w:b/>
          <w:sz w:val="24"/>
          <w:lang w:val="en-US" w:eastAsia="zh-CN" w:bidi="ar-SA"/>
        </w:rPr>
        <w:t>投标人需承诺：投标人须在中标后提供本项目整体三年售后服务承诺函。</w:t>
      </w:r>
    </w:p>
    <w:p w14:paraId="2D579D8A">
      <w:pPr>
        <w:widowControl w:val="0"/>
        <w:numPr>
          <w:ilvl w:val="2"/>
          <w:numId w:val="0"/>
        </w:numPr>
        <w:spacing w:before="120" w:after="120" w:line="360" w:lineRule="auto"/>
        <w:outlineLvl w:val="1"/>
        <w:rPr>
          <w:rFonts w:ascii="Times New Roman" w:hAnsi="Times New Roman" w:eastAsia="宋体" w:cs="Times New Roman"/>
          <w:b/>
          <w:sz w:val="24"/>
          <w:lang w:val="en-US" w:eastAsia="zh-CN" w:bidi="ar-SA"/>
        </w:rPr>
      </w:pPr>
      <w:r>
        <w:rPr>
          <w:rFonts w:ascii="Times New Roman" w:hAnsi="Times New Roman" w:eastAsia="宋体" w:cs="Times New Roman"/>
          <w:b/>
          <w:sz w:val="24"/>
          <w:lang w:val="en-US" w:eastAsia="zh-CN" w:bidi="ar-SA"/>
        </w:rPr>
        <w:t>2价格承诺</w:t>
      </w:r>
    </w:p>
    <w:p w14:paraId="7C1D129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本项目所需辅材，如招标文件无具体数量的，由投标人根据技术方案要求和现场情况提供，实际使用数量与中标人的投标数量不符时不对合同总价产生变更。</w:t>
      </w:r>
    </w:p>
    <w:p w14:paraId="283BCFED">
      <w:pPr>
        <w:widowControl w:val="0"/>
        <w:numPr>
          <w:ilvl w:val="2"/>
          <w:numId w:val="0"/>
        </w:numPr>
        <w:spacing w:before="120" w:after="120" w:line="360" w:lineRule="auto"/>
        <w:outlineLvl w:val="1"/>
        <w:rPr>
          <w:rFonts w:ascii="Times New Roman" w:hAnsi="Times New Roman" w:eastAsia="宋体" w:cs="Times New Roman"/>
          <w:b/>
          <w:sz w:val="24"/>
          <w:lang w:val="en-US" w:eastAsia="zh-CN" w:bidi="ar-SA"/>
        </w:rPr>
      </w:pPr>
      <w:bookmarkStart w:id="2" w:name="_Toc495504011"/>
      <w:r>
        <w:rPr>
          <w:rFonts w:ascii="Times New Roman" w:hAnsi="Times New Roman" w:eastAsia="宋体" w:cs="Times New Roman"/>
          <w:b/>
          <w:sz w:val="24"/>
          <w:lang w:val="en-US" w:eastAsia="zh-CN" w:bidi="ar-SA"/>
        </w:rPr>
        <w:t>3项目实施、交付要求</w:t>
      </w:r>
      <w:bookmarkEnd w:id="2"/>
    </w:p>
    <w:p w14:paraId="6399231A">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中标人在满足招标文件技术要求的基础上提出更完善的优化方案，但须在采购人评估通过后才可实施。</w:t>
      </w:r>
    </w:p>
    <w:p w14:paraId="4BAD3331">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中标人应严格按照招标文件技术资料要求、工程量清单及国家和地方现行施工验收规范、标准进行施工。关键产品品牌、规格、型号、色彩、样式、纹理等应先提供样本或色板由采购人确认后，方可生产加工和安装施工。</w:t>
      </w:r>
    </w:p>
    <w:p w14:paraId="6CE119F4">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中标人应负责图纸深化设计、竣工图设计、材料供货、运输、仓储、安装、调试、试运行、保修、人员培训等服务，并提交所有必要的技术文档。</w:t>
      </w:r>
    </w:p>
    <w:p w14:paraId="583597B7">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本项目为“交钥匙工程”，投标人负责全部设备的采购、运输、安装、调试和人员培训、售后服务及所有安装现场的收尾工作。</w:t>
      </w:r>
    </w:p>
    <w:p w14:paraId="1CFA990D">
      <w:pPr>
        <w:widowControl/>
        <w:spacing w:line="360" w:lineRule="auto"/>
        <w:jc w:val="left"/>
        <w:outlineLvl w:val="0"/>
        <w:rPr>
          <w:rFonts w:hint="eastAsia" w:cs="宋体" w:asciiTheme="minorEastAsia" w:hAnsiTheme="minorEastAsia" w:eastAsiaTheme="minorEastAsia"/>
          <w:b/>
          <w:bCs w:val="0"/>
          <w:color w:val="000000"/>
          <w:kern w:val="0"/>
          <w:sz w:val="24"/>
          <w:szCs w:val="24"/>
          <w:lang w:val="zh-CN"/>
        </w:rPr>
      </w:pPr>
      <w:r>
        <w:rPr>
          <w:rFonts w:hint="eastAsia" w:cs="宋体" w:asciiTheme="minorEastAsia" w:hAnsiTheme="minorEastAsia" w:eastAsiaTheme="minorEastAsia"/>
          <w:b/>
          <w:bCs w:val="0"/>
          <w:color w:val="000000"/>
          <w:kern w:val="0"/>
          <w:sz w:val="24"/>
          <w:szCs w:val="24"/>
          <w:lang w:val="en-US" w:eastAsia="zh-CN"/>
        </w:rPr>
        <w:t>五</w:t>
      </w:r>
      <w:r>
        <w:rPr>
          <w:rFonts w:hint="eastAsia" w:cs="宋体" w:asciiTheme="minorEastAsia" w:hAnsiTheme="minorEastAsia" w:eastAsiaTheme="minorEastAsia"/>
          <w:b/>
          <w:bCs w:val="0"/>
          <w:color w:val="000000"/>
          <w:kern w:val="0"/>
          <w:sz w:val="24"/>
          <w:szCs w:val="24"/>
          <w:lang w:val="zh-CN"/>
        </w:rPr>
        <w:t>、付款方式</w:t>
      </w:r>
    </w:p>
    <w:p w14:paraId="433331EF">
      <w:pPr>
        <w:widowControl/>
        <w:spacing w:line="360" w:lineRule="auto"/>
        <w:ind w:firstLine="480" w:firstLineChars="200"/>
        <w:jc w:val="left"/>
        <w:rPr>
          <w:rFonts w:hint="eastAsia" w:cs="宋体" w:asciiTheme="minorEastAsia" w:hAnsiTheme="minorEastAsia" w:eastAsiaTheme="minorEastAsia"/>
          <w:bCs/>
          <w:color w:val="000000"/>
          <w:kern w:val="0"/>
          <w:sz w:val="24"/>
          <w:lang w:val="en-US" w:eastAsia="zh-CN"/>
        </w:rPr>
      </w:pPr>
      <w:bookmarkStart w:id="3" w:name="_Hlk48725346"/>
      <w:r>
        <w:rPr>
          <w:rFonts w:hint="eastAsia" w:cs="宋体" w:asciiTheme="minorEastAsia" w:hAnsiTheme="minorEastAsia" w:eastAsiaTheme="minorEastAsia"/>
          <w:bCs/>
          <w:color w:val="000000"/>
          <w:kern w:val="0"/>
          <w:sz w:val="24"/>
          <w:lang w:val="en-US" w:eastAsia="zh-CN"/>
        </w:rPr>
        <w:t>本合同款总额分两次支付。合同签署之后7个工作日内，采购方收齐中标方通知及提供的付款发票和其他必要的付款凭证的情形下，采购方自该付款资料提交日起5个工作日内向广州市财政国库支付执行机构提交支付凭证资料、办理财政国库集中支付手续，再由其向中标方核拨合同总价的45%款额，即人民币元整（小写：元）。</w:t>
      </w:r>
    </w:p>
    <w:p w14:paraId="7824B6AC">
      <w:pPr>
        <w:widowControl/>
        <w:spacing w:line="360" w:lineRule="auto"/>
        <w:ind w:firstLine="480" w:firstLineChars="200"/>
        <w:jc w:val="left"/>
        <w:rPr>
          <w:rFonts w:hint="eastAsia" w:cs="宋体" w:asciiTheme="minorEastAsia" w:hAnsiTheme="minorEastAsia" w:eastAsiaTheme="minorEastAsia"/>
          <w:bCs/>
          <w:color w:val="000000"/>
          <w:kern w:val="0"/>
          <w:sz w:val="24"/>
          <w:lang w:val="en-US" w:eastAsia="zh-CN"/>
        </w:rPr>
      </w:pPr>
      <w:r>
        <w:rPr>
          <w:rFonts w:hint="eastAsia" w:cs="宋体" w:asciiTheme="minorEastAsia" w:hAnsiTheme="minorEastAsia" w:eastAsiaTheme="minorEastAsia"/>
          <w:bCs/>
          <w:color w:val="000000"/>
          <w:kern w:val="0"/>
          <w:sz w:val="24"/>
          <w:lang w:val="en-US" w:eastAsia="zh-CN"/>
        </w:rPr>
        <w:t>合同余款的支付，按本合同验收方式之合同验收合格后、在采购方收齐中标方交付的合法有效并与本合同条款相一致的发票等支付凭证之日起的5个工作日内支付相应合同余款。</w:t>
      </w:r>
      <w:bookmarkEnd w:id="3"/>
    </w:p>
    <w:p w14:paraId="7A5824B0">
      <w:pPr>
        <w:widowControl/>
        <w:spacing w:line="360" w:lineRule="auto"/>
        <w:jc w:val="left"/>
        <w:outlineLvl w:val="0"/>
        <w:rPr>
          <w:rFonts w:hint="eastAsia" w:cs="宋体" w:asciiTheme="minorEastAsia" w:hAnsiTheme="minorEastAsia" w:eastAsiaTheme="minorEastAsia"/>
          <w:b/>
          <w:bCs w:val="0"/>
          <w:color w:val="000000"/>
          <w:kern w:val="0"/>
          <w:sz w:val="24"/>
          <w:szCs w:val="24"/>
          <w:lang w:val="zh-CN"/>
        </w:rPr>
      </w:pPr>
      <w:r>
        <w:rPr>
          <w:rFonts w:hint="eastAsia" w:cs="宋体" w:asciiTheme="minorEastAsia" w:hAnsiTheme="minorEastAsia" w:eastAsiaTheme="minorEastAsia"/>
          <w:b/>
          <w:bCs w:val="0"/>
          <w:color w:val="000000"/>
          <w:kern w:val="0"/>
          <w:sz w:val="24"/>
          <w:szCs w:val="24"/>
          <w:lang w:val="en-US" w:eastAsia="zh-CN"/>
        </w:rPr>
        <w:t>六</w:t>
      </w:r>
      <w:r>
        <w:rPr>
          <w:rFonts w:hint="eastAsia" w:cs="宋体" w:asciiTheme="minorEastAsia" w:hAnsiTheme="minorEastAsia" w:eastAsiaTheme="minorEastAsia"/>
          <w:b/>
          <w:bCs w:val="0"/>
          <w:color w:val="000000"/>
          <w:kern w:val="0"/>
          <w:sz w:val="24"/>
          <w:szCs w:val="24"/>
        </w:rPr>
        <w:t>、项目安装测试、验收要求</w:t>
      </w:r>
    </w:p>
    <w:p w14:paraId="7E9C1128">
      <w:pPr>
        <w:widowControl w:val="0"/>
        <w:spacing w:before="120" w:after="120" w:line="360" w:lineRule="auto"/>
        <w:outlineLvl w:val="1"/>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1.</w:t>
      </w:r>
      <w:r>
        <w:rPr>
          <w:rFonts w:ascii="Times New Roman" w:hAnsi="Times New Roman" w:eastAsia="宋体" w:cs="Times New Roman"/>
          <w:b/>
          <w:sz w:val="24"/>
          <w:lang w:val="en-US" w:eastAsia="zh-CN" w:bidi="ar-SA"/>
        </w:rPr>
        <w:t>安装测试</w:t>
      </w:r>
    </w:p>
    <w:p w14:paraId="77A0B999">
      <w:pPr>
        <w:widowControl w:val="0"/>
        <w:numPr>
          <w:ilvl w:val="0"/>
          <w:numId w:val="0"/>
        </w:numPr>
        <w:spacing w:before="120" w:after="120" w:line="360" w:lineRule="auto"/>
        <w:ind w:leftChars="0" w:firstLine="482" w:firstLineChars="200"/>
        <w:outlineLvl w:val="2"/>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1.1</w:t>
      </w:r>
      <w:r>
        <w:rPr>
          <w:rFonts w:ascii="Times New Roman" w:hAnsi="Times New Roman" w:eastAsia="宋体" w:cs="Times New Roman"/>
          <w:b/>
          <w:sz w:val="24"/>
          <w:lang w:val="en-US" w:eastAsia="zh-CN" w:bidi="ar-SA"/>
        </w:rPr>
        <w:t>施工管理要求</w:t>
      </w:r>
    </w:p>
    <w:p w14:paraId="0AED399A">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成交供应商不得以任何方式转包或分包本项目。</w:t>
      </w:r>
    </w:p>
    <w:p w14:paraId="174D9E8F">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对于谈判文件中未详尽部分，应征得用户同意并签字后才施工，否则返工费用由成交供应商负责。</w:t>
      </w:r>
    </w:p>
    <w:p w14:paraId="04B8AE49">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成交供应商应建立并健全全面的质量管理体系，严格按照操作工艺流程，技术要求施工，设置各级技术管理和质量检查人员，并严格按照技术标准进行检查，</w:t>
      </w:r>
      <w:r>
        <w:rPr>
          <w:rFonts w:ascii="Times New Roman" w:hAnsi="Times New Roman" w:eastAsia="宋体" w:cs="Times New Roman"/>
          <w:b/>
          <w:sz w:val="24"/>
          <w:lang w:val="en-US" w:eastAsia="zh-CN" w:bidi="ar-SA"/>
        </w:rPr>
        <w:t>对不符合合同或工艺要求的，成交供应商须返工修补，直至达到要求为止。</w:t>
      </w:r>
    </w:p>
    <w:p w14:paraId="1F47B7EB">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成交供应商应按照响应文件指定的项目小组组织架构，承担施工任务。</w:t>
      </w:r>
    </w:p>
    <w:p w14:paraId="73096450">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施工的每个阶段都需要配合用户（和/或）监理单位进行节点验收。对于成交供应商自身原因造成的工期延误，用户可根据合同要求追究成交供应商责任。</w:t>
      </w:r>
    </w:p>
    <w:p w14:paraId="4568C142">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合同要求提供的所有设备和材料需在进场前一到两天通知用户（和/或）监理单位，并在设备和材料进场时配合用户和监理单位对设备和材料进行设备和材料的进场验收，在通过验收后，方可将其投入施工和安装。</w:t>
      </w:r>
    </w:p>
    <w:p w14:paraId="4159DA87">
      <w:pPr>
        <w:widowControl w:val="0"/>
        <w:numPr>
          <w:ilvl w:val="0"/>
          <w:numId w:val="2"/>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从开工之日起,直至项目竣工最终验收后将项目移交给用户前，成交供应商对所有有关项目的材料、半成品、成品和配套设备装置负全责。成交供应商应负责保障用户免于由于成交供应商保护不周而造成的所有赔偿责任或其费用。在项目最终验收合格后，成交供应商与用户签订项目设备清单移交确认书后，项目设备资产所有权才归用户拥有。</w:t>
      </w:r>
    </w:p>
    <w:p w14:paraId="70BB424F">
      <w:pPr>
        <w:widowControl w:val="0"/>
        <w:numPr>
          <w:ilvl w:val="0"/>
          <w:numId w:val="0"/>
        </w:numPr>
        <w:spacing w:before="120" w:after="120" w:line="360" w:lineRule="auto"/>
        <w:ind w:left="0" w:leftChars="0" w:firstLine="482" w:firstLineChars="200"/>
        <w:outlineLvl w:val="2"/>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1.2</w:t>
      </w:r>
      <w:r>
        <w:rPr>
          <w:rFonts w:ascii="Times New Roman" w:hAnsi="Times New Roman" w:eastAsia="宋体" w:cs="Times New Roman"/>
          <w:b/>
          <w:sz w:val="24"/>
          <w:lang w:val="en-US" w:eastAsia="zh-CN" w:bidi="ar-SA"/>
        </w:rPr>
        <w:t>进度管理要求</w:t>
      </w:r>
    </w:p>
    <w:p w14:paraId="7D5C73E3">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供应商应根据项目总体进度要求、设计方案和施</w:t>
      </w:r>
      <w:r>
        <w:rPr>
          <w:rFonts w:hint="eastAsia" w:ascii="Times New Roman" w:hAnsi="Times New Roman" w:eastAsia="宋体" w:cs="Times New Roman"/>
          <w:sz w:val="24"/>
          <w:lang w:val="en-US" w:eastAsia="zh-CN" w:bidi="ar-SA"/>
        </w:rPr>
        <w:t>工</w:t>
      </w:r>
      <w:r>
        <w:rPr>
          <w:rFonts w:ascii="Times New Roman" w:hAnsi="Times New Roman" w:eastAsia="宋体" w:cs="Times New Roman"/>
          <w:sz w:val="24"/>
          <w:lang w:val="en-US" w:eastAsia="zh-CN" w:bidi="ar-SA"/>
        </w:rPr>
        <w:t>顺序制定项目进度计划表，且满足谈判文件的时限规定，明确各节点的项目内容和考核指标。</w:t>
      </w:r>
    </w:p>
    <w:p w14:paraId="04A057B0">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成交供应商需严格按照响应文件所制定的进度计划按期按质完成每一阶段的施工任务。</w:t>
      </w:r>
    </w:p>
    <w:p w14:paraId="350146E2">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因涉及与用户协调导致项目工期延误的，应及时报</w:t>
      </w:r>
      <w:r>
        <w:rPr>
          <w:rFonts w:hint="eastAsia" w:ascii="Times New Roman" w:hAnsi="Times New Roman" w:eastAsia="宋体" w:cs="Times New Roman"/>
          <w:sz w:val="24"/>
          <w:lang w:val="en-US" w:eastAsia="zh-CN" w:bidi="ar-SA"/>
        </w:rPr>
        <w:t>用户</w:t>
      </w:r>
      <w:r>
        <w:rPr>
          <w:rFonts w:ascii="Times New Roman" w:hAnsi="Times New Roman" w:eastAsia="宋体" w:cs="Times New Roman"/>
          <w:sz w:val="24"/>
          <w:lang w:val="en-US" w:eastAsia="zh-CN" w:bidi="ar-SA"/>
        </w:rPr>
        <w:t>备案，并提出补救措施。报用户同意后，工期可顺延。</w:t>
      </w:r>
    </w:p>
    <w:p w14:paraId="066F520F">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因不可抗拒因素导致项目延缓的，应报</w:t>
      </w:r>
      <w:r>
        <w:rPr>
          <w:rFonts w:hint="eastAsia" w:ascii="Times New Roman" w:hAnsi="Times New Roman" w:eastAsia="宋体" w:cs="Times New Roman"/>
          <w:sz w:val="24"/>
          <w:lang w:val="en-US" w:eastAsia="zh-CN" w:bidi="ar-SA"/>
        </w:rPr>
        <w:t>用户</w:t>
      </w:r>
      <w:r>
        <w:rPr>
          <w:rFonts w:ascii="Times New Roman" w:hAnsi="Times New Roman" w:eastAsia="宋体" w:cs="Times New Roman"/>
          <w:sz w:val="24"/>
          <w:lang w:val="en-US" w:eastAsia="zh-CN" w:bidi="ar-SA"/>
        </w:rPr>
        <w:t>备案，并提供相关文件说明。成交供应商预计工期将延时，应提早报告</w:t>
      </w:r>
      <w:r>
        <w:rPr>
          <w:rFonts w:hint="eastAsia" w:ascii="Times New Roman" w:hAnsi="Times New Roman" w:eastAsia="宋体" w:cs="Times New Roman"/>
          <w:sz w:val="24"/>
          <w:lang w:val="en-US" w:eastAsia="zh-CN" w:bidi="ar-SA"/>
        </w:rPr>
        <w:t>用户</w:t>
      </w:r>
      <w:r>
        <w:rPr>
          <w:rFonts w:ascii="Times New Roman" w:hAnsi="Times New Roman" w:eastAsia="宋体" w:cs="Times New Roman"/>
          <w:sz w:val="24"/>
          <w:lang w:val="en-US" w:eastAsia="zh-CN" w:bidi="ar-SA"/>
        </w:rPr>
        <w:t>，并提出补救措施。</w:t>
      </w:r>
    </w:p>
    <w:p w14:paraId="575E4C9A">
      <w:pPr>
        <w:widowControl w:val="0"/>
        <w:numPr>
          <w:ilvl w:val="0"/>
          <w:numId w:val="3"/>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因项目质量原因需要（或造成）返工，导致工期延误的，其责任由成交供应商承担。</w:t>
      </w:r>
    </w:p>
    <w:p w14:paraId="61FABCB2">
      <w:pPr>
        <w:widowControl w:val="0"/>
        <w:spacing w:before="120" w:after="120" w:line="360" w:lineRule="auto"/>
        <w:outlineLvl w:val="1"/>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2.</w:t>
      </w:r>
      <w:r>
        <w:rPr>
          <w:rFonts w:ascii="Times New Roman" w:hAnsi="Times New Roman" w:eastAsia="宋体" w:cs="Times New Roman"/>
          <w:b/>
          <w:sz w:val="24"/>
          <w:lang w:val="en-US" w:eastAsia="zh-CN" w:bidi="ar-SA"/>
        </w:rPr>
        <w:t>设备安装</w:t>
      </w:r>
    </w:p>
    <w:p w14:paraId="6338B523">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需向采购人提供本项目采购的所有硬件的安装和维护服务的全部内容，并在需要的时候配合设备使用单位完成整个系统的网络联调工作。若本项目采购的设备产品等方面的配置或要求中出现不合理或不完整的问题时，供应商有责任和义务在响应文件中提出补充修改方案并征得采购人同意后付诸实施。</w:t>
      </w:r>
    </w:p>
    <w:p w14:paraId="1CB3875A">
      <w:pPr>
        <w:widowControl w:val="0"/>
        <w:spacing w:after="120" w:line="300" w:lineRule="auto"/>
        <w:ind w:firstLine="482" w:firstLineChars="200"/>
        <w:outlineLvl w:val="2"/>
        <w:rPr>
          <w:rFonts w:ascii="Times New Roman" w:hAnsi="Times New Roman" w:eastAsia="宋体" w:cs="Times New Roman"/>
          <w:b/>
          <w:bCs/>
          <w:sz w:val="24"/>
          <w:lang w:val="en-US" w:eastAsia="zh-CN" w:bidi="ar-SA"/>
        </w:rPr>
      </w:pPr>
      <w:r>
        <w:rPr>
          <w:rFonts w:hint="eastAsia" w:cs="Times New Roman"/>
          <w:b/>
          <w:bCs/>
          <w:sz w:val="24"/>
          <w:lang w:val="en-US" w:eastAsia="zh-CN" w:bidi="ar-SA"/>
        </w:rPr>
        <w:t>2.1</w:t>
      </w:r>
      <w:r>
        <w:rPr>
          <w:rFonts w:ascii="Times New Roman" w:hAnsi="Times New Roman" w:eastAsia="宋体" w:cs="Times New Roman"/>
          <w:b/>
          <w:bCs/>
          <w:sz w:val="24"/>
          <w:lang w:val="en-US" w:eastAsia="zh-CN" w:bidi="ar-SA"/>
        </w:rPr>
        <w:t>对供应商要求：</w:t>
      </w:r>
    </w:p>
    <w:p w14:paraId="24D93A99">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设备到达现场后，供应商将对设备进行安装、调试。</w:t>
      </w:r>
    </w:p>
    <w:p w14:paraId="11285046">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要求供应商需具有良好信誉。</w:t>
      </w:r>
    </w:p>
    <w:p w14:paraId="06FFB5D1">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供应商应本着认真负责态度，组织技术队伍，做好响应的整体方案，并书面提出长期保修、维护、服务以及今后技术支持的措施计划和承诺。</w:t>
      </w:r>
    </w:p>
    <w:p w14:paraId="2B0B89E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安装调试在设备到货后3个工作日内开始进行。</w:t>
      </w:r>
    </w:p>
    <w:p w14:paraId="1674D39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所有设备均须由供应商送货上门并安装调试。用户不再支付任何费用。</w:t>
      </w:r>
    </w:p>
    <w:p w14:paraId="00FFF2E3">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自系统安装工作一开始，供应商应允许采购单位的工作人员一起参与系统的安装、测试、诊断及解决遇到的问题等各项工作。</w:t>
      </w:r>
    </w:p>
    <w:p w14:paraId="3F60560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供应商和产品供货商对提供的产品保证至少叁年的产品免费技术支持售后服务，综合布线产品厂家须具备25年的产品质量及系统应用保证。</w:t>
      </w:r>
    </w:p>
    <w:p w14:paraId="643F5F3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采购人（建设单位）职责：用户单位应提供现场安装调试的条件，成交供应商负责组织有关技术人员到现场安装调试，并对用户单位使用人员进行技术培训，成交供应商负担全部费用。</w:t>
      </w:r>
    </w:p>
    <w:p w14:paraId="4E970048">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用户可提供的环境条件：用户现场状况，包括水电风汽条件、场地尺寸、辅助人员、吊装器具、气候等均符合设备使用所要求的环境状况。</w:t>
      </w:r>
    </w:p>
    <w:p w14:paraId="11F7F8CC">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成交供应商（项目承建单位）职责：</w:t>
      </w:r>
    </w:p>
    <w:p w14:paraId="5CB5A263">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完成项目描述的建设内容，包括但不限于负责设备安装、机房改造、综合布线系统的端接、敷设等安装施工内容，完成校园网原有配线间与新增配线间机柜的主干光纤或铜缆的敷设及端接校园网需要更换的原有网络交换的下架、搬运及入仓登记的工作，完成更换新上架网络交换机的防雷接地、线缆跳接、跳线编扎和标识、网络配置及优化等等施工内容。</w:t>
      </w:r>
    </w:p>
    <w:p w14:paraId="606AD219">
      <w:pPr>
        <w:widowControl w:val="0"/>
        <w:spacing w:before="120" w:after="120" w:line="360" w:lineRule="auto"/>
        <w:outlineLvl w:val="1"/>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3.</w:t>
      </w:r>
      <w:r>
        <w:rPr>
          <w:rFonts w:ascii="Times New Roman" w:hAnsi="Times New Roman" w:eastAsia="宋体" w:cs="Times New Roman"/>
          <w:b/>
          <w:sz w:val="24"/>
          <w:lang w:val="en-US" w:eastAsia="zh-CN" w:bidi="ar-SA"/>
        </w:rPr>
        <w:t>测试</w:t>
      </w:r>
    </w:p>
    <w:p w14:paraId="12D5E596">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供应商应根据所提交的验收方案和实施办法，自行组织设备和人员，并在使用单位监查下现场进行测试和验收。</w:t>
      </w:r>
    </w:p>
    <w:p w14:paraId="24A9FEA3">
      <w:pPr>
        <w:widowControl w:val="0"/>
        <w:spacing w:after="120" w:line="300" w:lineRule="auto"/>
        <w:ind w:firstLine="482" w:firstLineChars="200"/>
        <w:outlineLvl w:val="2"/>
        <w:rPr>
          <w:rFonts w:ascii="Times New Roman" w:hAnsi="Times New Roman" w:eastAsia="宋体" w:cs="Times New Roman"/>
          <w:b/>
          <w:sz w:val="24"/>
          <w:lang w:val="en-US" w:eastAsia="zh-CN" w:bidi="ar-SA"/>
        </w:rPr>
      </w:pPr>
      <w:r>
        <w:rPr>
          <w:rFonts w:hint="eastAsia" w:cs="Times New Roman"/>
          <w:b/>
          <w:sz w:val="24"/>
          <w:lang w:val="en-US" w:eastAsia="zh-CN" w:bidi="ar-SA"/>
        </w:rPr>
        <w:t>3.1</w:t>
      </w:r>
      <w:r>
        <w:rPr>
          <w:rFonts w:ascii="Times New Roman" w:hAnsi="Times New Roman" w:eastAsia="宋体" w:cs="Times New Roman"/>
          <w:b/>
          <w:sz w:val="24"/>
          <w:lang w:val="en-US" w:eastAsia="zh-CN" w:bidi="ar-SA"/>
        </w:rPr>
        <w:t>开箱检验</w:t>
      </w:r>
    </w:p>
    <w:p w14:paraId="669650F2">
      <w:pPr>
        <w:widowControl w:val="0"/>
        <w:numPr>
          <w:ilvl w:val="0"/>
          <w:numId w:val="4"/>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所有设备、器材在开箱时需完好，无破损。配置与装箱单相符。数量、质量及性能不低于合同要求。</w:t>
      </w:r>
    </w:p>
    <w:p w14:paraId="6D87CE52">
      <w:pPr>
        <w:widowControl w:val="0"/>
        <w:numPr>
          <w:ilvl w:val="0"/>
          <w:numId w:val="4"/>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拆箱后，供应商应对其全部产品、零件、配件、用户许可证书、资料、介质造册登记，并与装箱单对比，如有出入应立即书面记录，由供货商解决，如影响安装则按合同有关条款处理。登记册作为验收文档之一。</w:t>
      </w:r>
    </w:p>
    <w:p w14:paraId="6A7022BC">
      <w:pPr>
        <w:widowControl w:val="0"/>
        <w:spacing w:after="120" w:line="300" w:lineRule="auto"/>
        <w:ind w:firstLine="482" w:firstLineChars="200"/>
        <w:outlineLvl w:val="2"/>
        <w:rPr>
          <w:rFonts w:ascii="Times New Roman" w:hAnsi="Times New Roman" w:eastAsia="宋体" w:cs="Times New Roman"/>
          <w:b/>
          <w:sz w:val="24"/>
          <w:lang w:val="en-US" w:eastAsia="zh-CN" w:bidi="ar-SA"/>
        </w:rPr>
      </w:pPr>
      <w:r>
        <w:rPr>
          <w:rFonts w:hint="eastAsia" w:cs="Times New Roman"/>
          <w:b/>
          <w:sz w:val="24"/>
          <w:lang w:val="en-US" w:eastAsia="zh-CN" w:bidi="ar-SA"/>
        </w:rPr>
        <w:t>3.2</w:t>
      </w:r>
      <w:r>
        <w:rPr>
          <w:rFonts w:ascii="Times New Roman" w:hAnsi="Times New Roman" w:eastAsia="宋体" w:cs="Times New Roman"/>
          <w:b/>
          <w:sz w:val="24"/>
          <w:lang w:val="en-US" w:eastAsia="zh-CN" w:bidi="ar-SA"/>
        </w:rPr>
        <w:t>系统测试</w:t>
      </w:r>
    </w:p>
    <w:p w14:paraId="2890DA93">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系统安装完成后，按照系统要求的基本功能逐一测试。</w:t>
      </w:r>
    </w:p>
    <w:p w14:paraId="1E4E2BF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单项测试：单项产品安装完成后，由供应商进行产品自身性能的测试。设备通电测试应单台进行，所有设备通电自检正常后，才能相互联结。</w:t>
      </w:r>
    </w:p>
    <w:p w14:paraId="5D0C2710">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网络联机测试：网络系统安装完成后，由供应商和设备使用单位对所有采购的产品进行联网运行，并进行相应的联机测试。</w:t>
      </w:r>
    </w:p>
    <w:p w14:paraId="4FAB43D7">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系统运行正常，联机测试通过。</w:t>
      </w:r>
    </w:p>
    <w:p w14:paraId="7E2942C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如商检或系统测试中发现设备性能指标或功能上不符合标书和合同时，将被看作性能不合格，设备使用单位有权拒收并要求赔偿。</w:t>
      </w:r>
    </w:p>
    <w:p w14:paraId="0246EB0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供应商应负责在项目验收时将系统的全部有关产品说明书、原厂家安装手册、技术文件、资料、及安装、验收报告等文档交付设备使用单位。</w:t>
      </w:r>
    </w:p>
    <w:p w14:paraId="3AB6FC60">
      <w:pPr>
        <w:widowControl w:val="0"/>
        <w:spacing w:after="120" w:line="300" w:lineRule="auto"/>
        <w:ind w:firstLine="482" w:firstLineChars="200"/>
        <w:outlineLvl w:val="2"/>
        <w:rPr>
          <w:rFonts w:ascii="Times New Roman" w:hAnsi="Times New Roman" w:eastAsia="宋体" w:cs="Times New Roman"/>
          <w:b/>
          <w:sz w:val="24"/>
          <w:lang w:val="en-US" w:eastAsia="zh-CN" w:bidi="ar-SA"/>
        </w:rPr>
      </w:pPr>
      <w:r>
        <w:rPr>
          <w:rFonts w:hint="eastAsia" w:cs="Times New Roman"/>
          <w:b/>
          <w:sz w:val="24"/>
          <w:lang w:val="en-US" w:eastAsia="zh-CN" w:bidi="ar-SA"/>
        </w:rPr>
        <w:t>3.3</w:t>
      </w:r>
      <w:r>
        <w:rPr>
          <w:rFonts w:ascii="Times New Roman" w:hAnsi="Times New Roman" w:eastAsia="宋体" w:cs="Times New Roman"/>
          <w:b/>
          <w:sz w:val="24"/>
          <w:lang w:val="en-US" w:eastAsia="zh-CN" w:bidi="ar-SA"/>
        </w:rPr>
        <w:t>试运行期的有关要求</w:t>
      </w:r>
    </w:p>
    <w:p w14:paraId="6575EA75">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成交供应商在合同签订后按工期要求（15天）完成全部建设内容后的60个日历天</w:t>
      </w:r>
      <w:r>
        <w:rPr>
          <w:rFonts w:hint="eastAsia" w:ascii="Times New Roman" w:hAnsi="Times New Roman" w:eastAsia="宋体" w:cs="Times New Roman"/>
          <w:sz w:val="24"/>
          <w:lang w:val="en-US" w:eastAsia="zh-CN" w:bidi="ar-SA"/>
        </w:rPr>
        <w:t>为</w:t>
      </w:r>
      <w:r>
        <w:rPr>
          <w:rFonts w:ascii="Times New Roman" w:hAnsi="Times New Roman" w:eastAsia="宋体" w:cs="Times New Roman"/>
          <w:sz w:val="24"/>
          <w:lang w:val="en-US" w:eastAsia="zh-CN" w:bidi="ar-SA"/>
        </w:rPr>
        <w:t>项目试运行期</w:t>
      </w:r>
      <w:r>
        <w:rPr>
          <w:rFonts w:hint="eastAsia" w:ascii="Times New Roman" w:hAnsi="Times New Roman" w:eastAsia="宋体" w:cs="Times New Roman"/>
          <w:sz w:val="24"/>
          <w:lang w:val="en-US" w:eastAsia="zh-CN" w:bidi="ar-SA"/>
        </w:rPr>
        <w:t>。试运行期</w:t>
      </w:r>
      <w:r>
        <w:rPr>
          <w:rFonts w:ascii="Times New Roman" w:hAnsi="Times New Roman" w:eastAsia="宋体" w:cs="Times New Roman"/>
          <w:sz w:val="24"/>
          <w:lang w:val="en-US" w:eastAsia="zh-CN" w:bidi="ar-SA"/>
        </w:rPr>
        <w:t>结束后进行项目验收</w:t>
      </w:r>
      <w:r>
        <w:rPr>
          <w:rFonts w:hint="eastAsia" w:ascii="Times New Roman" w:hAnsi="Times New Roman" w:eastAsia="宋体" w:cs="Times New Roman"/>
          <w:sz w:val="24"/>
          <w:lang w:val="en-US" w:eastAsia="zh-CN" w:bidi="ar-SA"/>
        </w:rPr>
        <w:t>。</w:t>
      </w:r>
    </w:p>
    <w:p w14:paraId="150EAD4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系统试运行期间，供应商应指派专人在现场指导使用人员的操作；</w:t>
      </w:r>
    </w:p>
    <w:p w14:paraId="0C02DE9C">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供应商应在现场排除系统试运行过程中出现的硬件或软件故障，对于易出现问题的设备提供备用件；</w:t>
      </w:r>
    </w:p>
    <w:p w14:paraId="732160C2">
      <w:pPr>
        <w:widowControl w:val="0"/>
        <w:spacing w:after="120" w:line="300" w:lineRule="auto"/>
        <w:ind w:firstLine="480" w:firstLineChars="200"/>
        <w:rPr>
          <w:rFonts w:ascii="宋体" w:hAnsi="宋体"/>
          <w:b/>
          <w:sz w:val="24"/>
          <w:szCs w:val="24"/>
        </w:rPr>
      </w:pPr>
      <w:r>
        <w:rPr>
          <w:rFonts w:ascii="Times New Roman" w:hAnsi="Times New Roman" w:eastAsia="宋体" w:cs="Times New Roman"/>
          <w:sz w:val="24"/>
          <w:lang w:val="en-US" w:eastAsia="zh-CN" w:bidi="ar-SA"/>
        </w:rPr>
        <w:t>应用户的要求，供应商应随时讲解系统的结构和设计。</w:t>
      </w:r>
    </w:p>
    <w:p w14:paraId="7B8547F7">
      <w:pPr>
        <w:widowControl w:val="0"/>
        <w:spacing w:before="120" w:after="120" w:line="360" w:lineRule="auto"/>
        <w:outlineLvl w:val="1"/>
        <w:rPr>
          <w:rFonts w:ascii="Times New Roman" w:hAnsi="Times New Roman" w:eastAsia="宋体" w:cs="Times New Roman"/>
          <w:b/>
          <w:sz w:val="24"/>
          <w:lang w:val="en-US" w:eastAsia="zh-CN" w:bidi="ar-SA"/>
        </w:rPr>
      </w:pPr>
      <w:r>
        <w:rPr>
          <w:rFonts w:ascii="Times New Roman" w:hAnsi="Times New Roman" w:eastAsia="宋体" w:cs="Times New Roman"/>
          <w:b/>
          <w:sz w:val="24"/>
          <w:lang w:val="en-US" w:eastAsia="zh-CN" w:bidi="ar-SA"/>
        </w:rPr>
        <w:t>4</w:t>
      </w:r>
      <w:r>
        <w:rPr>
          <w:rFonts w:hint="eastAsia" w:ascii="Times New Roman" w:hAnsi="Times New Roman" w:eastAsia="宋体" w:cs="Times New Roman"/>
          <w:b/>
          <w:sz w:val="24"/>
          <w:lang w:val="en-US" w:eastAsia="zh-CN" w:bidi="ar-SA"/>
        </w:rPr>
        <w:t>.</w:t>
      </w:r>
      <w:r>
        <w:rPr>
          <w:rFonts w:ascii="Times New Roman" w:hAnsi="Times New Roman" w:eastAsia="宋体" w:cs="Times New Roman"/>
          <w:b/>
          <w:sz w:val="24"/>
          <w:lang w:val="en-US" w:eastAsia="zh-CN" w:bidi="ar-SA"/>
        </w:rPr>
        <w:t>验收要求</w:t>
      </w:r>
    </w:p>
    <w:p w14:paraId="06F755AC">
      <w:pPr>
        <w:widowControl w:val="0"/>
        <w:spacing w:after="120" w:line="300" w:lineRule="auto"/>
        <w:ind w:firstLine="482" w:firstLineChars="200"/>
        <w:outlineLvl w:val="2"/>
        <w:rPr>
          <w:rFonts w:hint="eastAsia" w:cs="Times New Roman"/>
          <w:b/>
          <w:sz w:val="24"/>
          <w:lang w:val="en-US" w:eastAsia="zh-CN" w:bidi="ar-SA"/>
        </w:rPr>
      </w:pPr>
      <w:r>
        <w:rPr>
          <w:rFonts w:hint="eastAsia" w:cs="Times New Roman"/>
          <w:b/>
          <w:sz w:val="24"/>
          <w:lang w:val="en-US" w:eastAsia="zh-CN" w:bidi="ar-SA"/>
        </w:rPr>
        <w:t>4.1产品验收要求：</w:t>
      </w:r>
    </w:p>
    <w:p w14:paraId="2F66FB89">
      <w:pPr>
        <w:widowControl w:val="0"/>
        <w:numPr>
          <w:ilvl w:val="0"/>
          <w:numId w:val="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要求对全部设备、产品、型号、规格、数量、外型、外观、包装及资料、文件（如装箱单、保修单、随箱介质等）的验收。</w:t>
      </w:r>
    </w:p>
    <w:p w14:paraId="2A6BCD68">
      <w:pPr>
        <w:widowControl w:val="0"/>
        <w:numPr>
          <w:ilvl w:val="0"/>
          <w:numId w:val="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凡列入《中华人民共和国实施强制性产品认证的产品目录》的产品在验收时出具CCC认证证书复印件，并以在产品外部加施认证标志作为验收依据之一。</w:t>
      </w:r>
    </w:p>
    <w:p w14:paraId="5F529A0D">
      <w:pPr>
        <w:widowControl w:val="0"/>
        <w:numPr>
          <w:ilvl w:val="0"/>
          <w:numId w:val="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供应商应负责在项目验收时将系统的全部有关产品说明书、原厂家安装手册、技术文件、资料、及安装、验收报告等文档汇集成册交付设备使用单位。</w:t>
      </w:r>
    </w:p>
    <w:p w14:paraId="63807DA6">
      <w:pPr>
        <w:widowControl w:val="0"/>
        <w:numPr>
          <w:ilvl w:val="0"/>
          <w:numId w:val="0"/>
        </w:numPr>
        <w:spacing w:after="120" w:line="300" w:lineRule="auto"/>
        <w:ind w:left="480" w:leftChars="0"/>
        <w:rPr>
          <w:rFonts w:ascii="Times New Roman" w:hAnsi="Times New Roman" w:eastAsia="宋体" w:cs="Times New Roman"/>
          <w:sz w:val="24"/>
          <w:lang w:val="en-US" w:eastAsia="zh-CN" w:bidi="ar-SA"/>
        </w:rPr>
      </w:pPr>
      <w:r>
        <w:rPr>
          <w:rFonts w:hint="eastAsia" w:ascii="宋体" w:hAnsi="宋体" w:cs="Arial"/>
          <w:sz w:val="24"/>
          <w:szCs w:val="24"/>
          <w:lang w:val="en-US" w:eastAsia="zh-CN" w:bidi="ar-SA"/>
        </w:rPr>
        <w:t>4）</w:t>
      </w:r>
      <w:r>
        <w:rPr>
          <w:rFonts w:hint="eastAsia" w:ascii="宋体" w:hAnsi="宋体" w:eastAsia="宋体" w:cs="Arial"/>
          <w:sz w:val="24"/>
          <w:szCs w:val="24"/>
          <w:lang w:val="en-US" w:eastAsia="zh-CN" w:bidi="ar-SA"/>
        </w:rPr>
        <w:t>项目</w:t>
      </w:r>
      <w:r>
        <w:rPr>
          <w:rFonts w:hint="eastAsia" w:ascii="宋体" w:hAnsi="宋体" w:eastAsia="宋体" w:cs="Arial"/>
          <w:sz w:val="24"/>
          <w:szCs w:val="24"/>
          <w:lang w:val="zh-CN" w:eastAsia="zh-CN" w:bidi="ar-SA"/>
        </w:rPr>
        <w:t>按照合同相关要求，由</w:t>
      </w:r>
      <w:r>
        <w:rPr>
          <w:rFonts w:hint="eastAsia" w:ascii="宋体" w:hAnsi="宋体" w:eastAsia="宋体" w:cs="Arial"/>
          <w:sz w:val="24"/>
          <w:szCs w:val="24"/>
          <w:lang w:val="en-US" w:eastAsia="zh-CN" w:bidi="ar-SA"/>
        </w:rPr>
        <w:t>采购人</w:t>
      </w:r>
      <w:r>
        <w:rPr>
          <w:rFonts w:hint="eastAsia" w:ascii="宋体" w:hAnsi="宋体" w:eastAsia="宋体" w:cs="Arial"/>
          <w:sz w:val="24"/>
          <w:szCs w:val="24"/>
          <w:lang w:val="zh-CN" w:eastAsia="zh-CN" w:bidi="ar-SA"/>
        </w:rPr>
        <w:t>组织人员进行</w:t>
      </w:r>
      <w:r>
        <w:rPr>
          <w:rFonts w:hint="eastAsia" w:ascii="宋体" w:hAnsi="宋体" w:eastAsia="宋体" w:cs="Arial"/>
          <w:sz w:val="24"/>
          <w:szCs w:val="24"/>
          <w:lang w:val="en-US" w:eastAsia="zh-CN" w:bidi="ar-SA"/>
        </w:rPr>
        <w:t>项目</w:t>
      </w:r>
      <w:r>
        <w:rPr>
          <w:rFonts w:hint="eastAsia" w:ascii="宋体" w:hAnsi="宋体" w:eastAsia="宋体" w:cs="Arial"/>
          <w:sz w:val="24"/>
          <w:szCs w:val="24"/>
          <w:lang w:val="zh-CN" w:eastAsia="zh-CN" w:bidi="ar-SA"/>
        </w:rPr>
        <w:t>验收，验收合格出具《验收报告》。</w:t>
      </w:r>
    </w:p>
    <w:p w14:paraId="69115219">
      <w:pPr>
        <w:widowControl w:val="0"/>
        <w:numPr>
          <w:ilvl w:val="0"/>
          <w:numId w:val="0"/>
        </w:numPr>
        <w:spacing w:after="120" w:line="300" w:lineRule="auto"/>
        <w:ind w:left="0" w:leftChars="0" w:firstLine="480" w:firstLineChars="0"/>
        <w:rPr>
          <w:rFonts w:ascii="Times New Roman" w:hAnsi="Times New Roman" w:eastAsia="宋体" w:cs="Times New Roman"/>
          <w:sz w:val="24"/>
          <w:lang w:val="en-US" w:eastAsia="zh-CN" w:bidi="ar-SA"/>
        </w:rPr>
      </w:pPr>
      <w:r>
        <w:rPr>
          <w:rFonts w:hint="eastAsia" w:cs="Times New Roman"/>
          <w:sz w:val="24"/>
          <w:lang w:val="en-US" w:eastAsia="zh-CN" w:bidi="ar-SA"/>
        </w:rPr>
        <w:t>5）</w:t>
      </w:r>
      <w:r>
        <w:rPr>
          <w:rFonts w:ascii="Times New Roman" w:hAnsi="Times New Roman" w:eastAsia="宋体" w:cs="Times New Roman"/>
          <w:sz w:val="24"/>
          <w:lang w:val="en-US" w:eastAsia="zh-CN" w:bidi="ar-SA"/>
        </w:rPr>
        <w:t>★本项目为交钥匙工程，供应商必须承诺配备满足系统正常运转的必要配件、辅助材料等（包括未在采购要求中明确出现，而满足系统整体要求所必须的），综合布线信息点的验收必须按技术要求通过福禄克测试。</w:t>
      </w:r>
    </w:p>
    <w:p w14:paraId="100DF658">
      <w:pPr>
        <w:spacing w:line="360" w:lineRule="auto"/>
        <w:outlineLvl w:val="0"/>
        <w:rPr>
          <w:rFonts w:hint="eastAsia" w:cs="Arial" w:asciiTheme="minorEastAsia" w:hAnsiTheme="minorEastAsia" w:eastAsiaTheme="minorEastAsia"/>
          <w:b/>
          <w:bCs/>
          <w:sz w:val="24"/>
          <w:lang w:val="zh-CN"/>
        </w:rPr>
      </w:pPr>
      <w:r>
        <w:rPr>
          <w:rFonts w:hint="eastAsia" w:cs="Arial" w:asciiTheme="minorEastAsia" w:hAnsiTheme="minorEastAsia" w:eastAsiaTheme="minorEastAsia"/>
          <w:b/>
          <w:bCs/>
          <w:sz w:val="24"/>
          <w:lang w:val="en-US" w:eastAsia="zh-CN"/>
        </w:rPr>
        <w:t>七</w:t>
      </w:r>
      <w:r>
        <w:rPr>
          <w:rFonts w:hint="eastAsia" w:cs="Arial" w:asciiTheme="minorEastAsia" w:hAnsiTheme="minorEastAsia" w:eastAsiaTheme="minorEastAsia"/>
          <w:b/>
          <w:bCs/>
          <w:sz w:val="24"/>
          <w:lang w:val="zh-CN"/>
        </w:rPr>
        <w:t>、项目售后服务要求</w:t>
      </w:r>
    </w:p>
    <w:p w14:paraId="2C5662E4">
      <w:pPr>
        <w:widowControl w:val="0"/>
        <w:spacing w:before="120" w:after="120" w:line="360" w:lineRule="auto"/>
        <w:ind w:firstLine="482" w:firstLineChars="200"/>
        <w:outlineLvl w:val="1"/>
        <w:rPr>
          <w:rFonts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1.</w:t>
      </w:r>
      <w:r>
        <w:rPr>
          <w:rFonts w:ascii="Times New Roman" w:hAnsi="Times New Roman" w:eastAsia="宋体" w:cs="Times New Roman"/>
          <w:b/>
          <w:sz w:val="24"/>
          <w:lang w:val="en-US" w:eastAsia="zh-CN" w:bidi="ar-SA"/>
        </w:rPr>
        <w:t>项目售后服务要求：</w:t>
      </w:r>
    </w:p>
    <w:p w14:paraId="5E18AB82">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default" w:ascii="Times New Roman" w:hAnsi="Times New Roman" w:eastAsia="宋体" w:cs="Times New Roman"/>
          <w:b w:val="0"/>
          <w:bCs w:val="0"/>
          <w:sz w:val="24"/>
          <w:lang w:val="en-US" w:eastAsia="zh-CN" w:bidi="ar-SA"/>
        </w:rPr>
        <w:t>1</w:t>
      </w:r>
      <w:r>
        <w:rPr>
          <w:rFonts w:hint="eastAsia" w:ascii="Times New Roman" w:hAnsi="Times New Roman" w:eastAsia="宋体" w:cs="Times New Roman"/>
          <w:b w:val="0"/>
          <w:bCs w:val="0"/>
          <w:sz w:val="24"/>
          <w:lang w:val="en-US" w:eastAsia="zh-CN" w:bidi="ar-SA"/>
        </w:rPr>
        <w:t>.1</w:t>
      </w:r>
      <w:r>
        <w:rPr>
          <w:rFonts w:ascii="Times New Roman" w:hAnsi="Times New Roman" w:eastAsia="宋体" w:cs="Times New Roman"/>
          <w:b w:val="0"/>
          <w:bCs w:val="0"/>
          <w:sz w:val="24"/>
          <w:lang w:val="en-US" w:eastAsia="zh-CN" w:bidi="ar-SA"/>
        </w:rPr>
        <w:t>质保期内的免费售后服务</w:t>
      </w:r>
      <w:r>
        <w:rPr>
          <w:rFonts w:ascii="Times New Roman" w:hAnsi="Times New Roman" w:eastAsia="宋体" w:cs="Times New Roman"/>
          <w:sz w:val="24"/>
          <w:lang w:val="en-US" w:eastAsia="zh-CN" w:bidi="ar-SA"/>
        </w:rPr>
        <w:t>：</w:t>
      </w:r>
    </w:p>
    <w:p w14:paraId="5F8EE9DF">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工程验收合格之日起，即进入了系统售后服务期。</w:t>
      </w:r>
    </w:p>
    <w:p w14:paraId="270306D1">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供应商必须承诺提供设备、综合布线产品及项目所有软硬件货物至少三年的保修服务。保修期内，本次采购软硬件设备的维修维护均为免费上门。</w:t>
      </w:r>
    </w:p>
    <w:p w14:paraId="20EAEF66">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供应商须在本地区有一定数量的技术人员提供售后技术服务。</w:t>
      </w:r>
    </w:p>
    <w:p w14:paraId="48A8D1E7">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供应商需提出完整的售后服务计划及承诺，列明质量保修期的保修范围和质量维护期的服务范围。</w:t>
      </w:r>
    </w:p>
    <w:p w14:paraId="2477B078">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eastAsia" w:ascii="Times New Roman" w:hAnsi="Times New Roman" w:eastAsia="宋体" w:cs="Times New Roman"/>
          <w:sz w:val="24"/>
          <w:lang w:val="en-US" w:eastAsia="zh-CN" w:bidi="ar-SA"/>
        </w:rPr>
        <w:t>1.2</w:t>
      </w:r>
      <w:r>
        <w:rPr>
          <w:rFonts w:ascii="Times New Roman" w:hAnsi="Times New Roman" w:eastAsia="宋体" w:cs="Times New Roman"/>
          <w:sz w:val="24"/>
          <w:lang w:val="en-US" w:eastAsia="zh-CN" w:bidi="ar-SA"/>
        </w:rPr>
        <w:t>备件服务：供应商在设计方案及报价时，需考虑合理的备品备件，保障用户在部分设备、模块失效的情况下，可以在1小时内利用备品、备件恢复系统的正常运行。</w:t>
      </w:r>
    </w:p>
    <w:p w14:paraId="451BEE8D">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eastAsia" w:ascii="Times New Roman" w:hAnsi="Times New Roman" w:eastAsia="宋体" w:cs="Times New Roman"/>
          <w:sz w:val="24"/>
          <w:lang w:val="en-US" w:eastAsia="zh-CN" w:bidi="ar-SA"/>
        </w:rPr>
        <w:t>1.3</w:t>
      </w:r>
      <w:r>
        <w:rPr>
          <w:rFonts w:ascii="Times New Roman" w:hAnsi="Times New Roman" w:eastAsia="宋体" w:cs="Times New Roman"/>
          <w:sz w:val="24"/>
          <w:lang w:val="en-US" w:eastAsia="zh-CN" w:bidi="ar-SA"/>
        </w:rPr>
        <w:t>质保期满后，成交供应商应保证以合理的价格提供备件和保养服务，当发生故障时，成交供应商应按质保期内同样的要求进行维修处理。</w:t>
      </w:r>
    </w:p>
    <w:p w14:paraId="23BD0435">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eastAsia" w:ascii="Times New Roman" w:hAnsi="Times New Roman" w:eastAsia="宋体" w:cs="Times New Roman"/>
          <w:sz w:val="24"/>
          <w:lang w:val="en-US" w:eastAsia="zh-CN" w:bidi="ar-SA"/>
        </w:rPr>
        <w:t>1.4</w:t>
      </w:r>
      <w:r>
        <w:rPr>
          <w:rFonts w:ascii="Times New Roman" w:hAnsi="Times New Roman" w:eastAsia="宋体" w:cs="Times New Roman"/>
          <w:sz w:val="24"/>
          <w:lang w:val="en-US" w:eastAsia="zh-CN" w:bidi="ar-SA"/>
        </w:rPr>
        <w:t>故障响应</w:t>
      </w:r>
    </w:p>
    <w:p w14:paraId="5E05259B">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要求提供7*24全年无休服务，第二自然日上门，厂家在当地有维修站，提供厂家大客户专家专售后服务热线电话受理；</w:t>
      </w:r>
    </w:p>
    <w:p w14:paraId="07172E40">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对重大故障提供7×24小时的现场支援，重大故障的现场响应时间：一小时内赶到现场。</w:t>
      </w:r>
    </w:p>
    <w:p w14:paraId="06488ADE">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对一般故障提供5×8小时（法定工作时间）的现场支援，一般故障的现场响应时间：（4小时内）到达现场并排除故障。</w:t>
      </w:r>
    </w:p>
    <w:p w14:paraId="7A93CCF3">
      <w:pPr>
        <w:widowControl w:val="0"/>
        <w:numPr>
          <w:ilvl w:val="0"/>
          <w:numId w:val="0"/>
        </w:numPr>
        <w:spacing w:after="120" w:line="300" w:lineRule="auto"/>
        <w:ind w:left="0" w:leftChars="0" w:firstLine="480" w:firstLineChars="0"/>
        <w:outlineLvl w:val="2"/>
        <w:rPr>
          <w:rFonts w:ascii="Times New Roman" w:hAnsi="Times New Roman" w:eastAsia="宋体" w:cs="Times New Roman"/>
          <w:sz w:val="24"/>
          <w:lang w:val="en-US" w:eastAsia="zh-CN" w:bidi="ar-SA"/>
        </w:rPr>
      </w:pPr>
      <w:r>
        <w:rPr>
          <w:rFonts w:hint="eastAsia" w:ascii="Times New Roman" w:hAnsi="Times New Roman" w:eastAsia="宋体" w:cs="Times New Roman"/>
          <w:sz w:val="24"/>
          <w:lang w:val="en-US" w:eastAsia="zh-CN" w:bidi="ar-SA"/>
        </w:rPr>
        <w:t>1.5</w:t>
      </w:r>
      <w:r>
        <w:rPr>
          <w:rFonts w:ascii="Times New Roman" w:hAnsi="Times New Roman" w:eastAsia="宋体" w:cs="Times New Roman"/>
          <w:sz w:val="24"/>
          <w:lang w:val="en-US" w:eastAsia="zh-CN" w:bidi="ar-SA"/>
        </w:rPr>
        <w:t>文档交付</w:t>
      </w:r>
    </w:p>
    <w:p w14:paraId="78A79476">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在完成系统建设工程后应提供所有的技术文档，包括用户需求分析书、设计方案及相关图纸、测试方案、测试报告、系统及应用软件清单和设备硬件清单、用户手册、管理员手册、安装指南等用户文档资料。</w:t>
      </w:r>
    </w:p>
    <w:p w14:paraId="14D073C2">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资料文件的内容要和所提供的设备一致。当系统及软硬件设备有变更时，成交供应商应提供修改后的补充文件。</w:t>
      </w:r>
    </w:p>
    <w:p w14:paraId="310AFAD8">
      <w:pPr>
        <w:widowControl w:val="0"/>
        <w:spacing w:after="120" w:line="300" w:lineRule="auto"/>
        <w:outlineLvl w:val="1"/>
        <w:rPr>
          <w:rFonts w:ascii="宋体" w:hAnsi="宋体" w:eastAsia="宋体" w:cs="宋体"/>
          <w:b/>
          <w:bCs/>
          <w:kern w:val="44"/>
          <w:sz w:val="24"/>
          <w:szCs w:val="30"/>
          <w:lang w:val="en-US" w:eastAsia="zh-CN" w:bidi="ar-SA"/>
        </w:rPr>
      </w:pPr>
      <w:r>
        <w:rPr>
          <w:rFonts w:ascii="宋体" w:hAnsi="宋体" w:eastAsia="宋体" w:cs="宋体"/>
          <w:b/>
          <w:bCs/>
          <w:kern w:val="44"/>
          <w:sz w:val="24"/>
          <w:szCs w:val="30"/>
          <w:lang w:val="en-US" w:eastAsia="zh-CN" w:bidi="ar-SA"/>
        </w:rPr>
        <w:t>2.项目培训要求</w:t>
      </w:r>
    </w:p>
    <w:p w14:paraId="195F7019">
      <w:pPr>
        <w:widowControl w:val="0"/>
        <w:numPr>
          <w:ilvl w:val="0"/>
          <w:numId w:val="6"/>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应在系统开通后试运行期间为学校技术人员进行现场培训，在培训工作开始前供应商应向学校免费提供所有中/英文培训资料，包括中文操作、维修手册，要求受训人员能够了解系统及设备的基本结构、工作原理及操作程序，能进行实际操作和日常维护，排除一般故障。</w:t>
      </w:r>
    </w:p>
    <w:p w14:paraId="4BF5B577">
      <w:pPr>
        <w:widowControl w:val="0"/>
        <w:numPr>
          <w:ilvl w:val="0"/>
          <w:numId w:val="6"/>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成交供应商应对学校的技术人员进行操作和维修培训，所有培训应以中文进行，供应商应在响应文件中提出培训计划和培训项目，供学校批准。</w:t>
      </w:r>
    </w:p>
    <w:p w14:paraId="2DEEB5C2">
      <w:pPr>
        <w:widowControl w:val="0"/>
        <w:numPr>
          <w:numId w:val="0"/>
        </w:numPr>
        <w:spacing w:after="120" w:line="300" w:lineRule="auto"/>
        <w:ind w:left="480" w:leftChars="0"/>
        <w:rPr>
          <w:rFonts w:ascii="Times New Roman" w:hAnsi="Times New Roman" w:eastAsia="宋体" w:cs="Times New Roman"/>
          <w:sz w:val="24"/>
          <w:lang w:val="en-US" w:eastAsia="zh-CN" w:bidi="ar-SA"/>
        </w:rPr>
      </w:pPr>
    </w:p>
    <w:p w14:paraId="31D169CF">
      <w:pPr>
        <w:spacing w:line="360" w:lineRule="auto"/>
        <w:outlineLvl w:val="0"/>
        <w:rPr>
          <w:rFonts w:cs="Arial" w:asciiTheme="minorEastAsia" w:hAnsiTheme="minorEastAsia" w:eastAsiaTheme="minorEastAsia"/>
          <w:b/>
          <w:bCs/>
          <w:sz w:val="24"/>
          <w:lang w:val="zh-CN"/>
        </w:rPr>
      </w:pPr>
      <w:r>
        <w:rPr>
          <w:rFonts w:hint="eastAsia" w:cs="Arial" w:asciiTheme="minorEastAsia" w:hAnsiTheme="minorEastAsia" w:eastAsiaTheme="minorEastAsia"/>
          <w:b/>
          <w:bCs/>
          <w:sz w:val="24"/>
          <w:lang w:val="en-US" w:eastAsia="zh-CN"/>
        </w:rPr>
        <w:t>八</w:t>
      </w:r>
      <w:r>
        <w:rPr>
          <w:rFonts w:hint="eastAsia" w:cs="Arial" w:asciiTheme="minorEastAsia" w:hAnsiTheme="minorEastAsia" w:eastAsiaTheme="minorEastAsia"/>
          <w:b/>
          <w:bCs/>
          <w:sz w:val="24"/>
          <w:lang w:val="zh-CN"/>
        </w:rPr>
        <w:t>、</w:t>
      </w:r>
      <w:r>
        <w:rPr>
          <w:rFonts w:hint="eastAsia" w:asciiTheme="minorEastAsia" w:hAnsiTheme="minorEastAsia" w:eastAsiaTheme="minorEastAsia"/>
          <w:b/>
          <w:bCs/>
          <w:sz w:val="24"/>
        </w:rPr>
        <w:t>其它要求及说明</w:t>
      </w:r>
    </w:p>
    <w:p w14:paraId="77E5EDE3">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1、本项目以成交人报价为成交价格，成交人应按照需求中的品种、数量报价，成交价格应包含运输税费等费用，由于成交人原因漏报的项目，均视为成交人已计取，并已包含在总报价中，采购人不予以追加。</w:t>
      </w:r>
    </w:p>
    <w:p w14:paraId="069E1715">
      <w:pPr>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w:t>
      </w:r>
      <w:r>
        <w:rPr>
          <w:rFonts w:hint="eastAsia" w:cs="Arial" w:asciiTheme="minorEastAsia" w:hAnsiTheme="minorEastAsia" w:eastAsiaTheme="minorEastAsia"/>
          <w:sz w:val="24"/>
          <w:lang w:val="zh-CN"/>
        </w:rPr>
        <w:t>成交人</w:t>
      </w:r>
      <w:r>
        <w:rPr>
          <w:rFonts w:hint="eastAsia" w:cs="Arial" w:asciiTheme="minorEastAsia" w:hAnsiTheme="minorEastAsia" w:eastAsiaTheme="minorEastAsia"/>
          <w:sz w:val="24"/>
        </w:rPr>
        <w:t>应当自采购人发出成交通知之日起</w:t>
      </w:r>
      <w:r>
        <w:rPr>
          <w:rFonts w:cs="Arial" w:asciiTheme="minorEastAsia" w:hAnsiTheme="minorEastAsia" w:eastAsiaTheme="minorEastAsia"/>
          <w:color w:val="FF0000"/>
          <w:sz w:val="24"/>
          <w:u w:val="single"/>
          <w:lang w:val="zh-CN"/>
        </w:rPr>
        <w:t>7</w:t>
      </w:r>
      <w:r>
        <w:rPr>
          <w:rFonts w:hint="eastAsia" w:cs="Arial" w:asciiTheme="minorEastAsia" w:hAnsiTheme="minorEastAsia" w:eastAsiaTheme="minorEastAsia"/>
          <w:sz w:val="24"/>
        </w:rPr>
        <w:t>个日历天内，按照采购人提供的合同样本与采购人签订书面合同。</w:t>
      </w:r>
    </w:p>
    <w:p w14:paraId="247A3FB0">
      <w:pPr>
        <w:spacing w:line="360" w:lineRule="auto"/>
        <w:ind w:firstLine="480"/>
        <w:rPr>
          <w:rFonts w:cs="Arial" w:asciiTheme="minorEastAsia" w:hAnsiTheme="minorEastAsia" w:eastAsiaTheme="minorEastAsia"/>
          <w:sz w:val="24"/>
          <w:lang w:val="zh-CN"/>
        </w:rPr>
      </w:pPr>
      <w:r>
        <w:rPr>
          <w:rFonts w:hint="eastAsia" w:cs="宋体" w:asciiTheme="minorEastAsia" w:hAnsiTheme="minorEastAsia" w:eastAsiaTheme="minorEastAsia"/>
          <w:color w:val="000000"/>
          <w:sz w:val="24"/>
        </w:rPr>
        <w:t>3、采购人不接受非成交人的查询，也不对不</w:t>
      </w:r>
      <w:r>
        <w:rPr>
          <w:rFonts w:hint="eastAsia" w:cs="Arial" w:asciiTheme="minorEastAsia" w:hAnsiTheme="minorEastAsia" w:eastAsiaTheme="minorEastAsia"/>
          <w:sz w:val="24"/>
        </w:rPr>
        <w:t>成交</w:t>
      </w:r>
      <w:r>
        <w:rPr>
          <w:rFonts w:hint="eastAsia" w:cs="宋体" w:asciiTheme="minorEastAsia" w:hAnsiTheme="minorEastAsia" w:eastAsiaTheme="minorEastAsia"/>
          <w:color w:val="000000"/>
          <w:sz w:val="24"/>
        </w:rPr>
        <w:t>原因作出解释。</w:t>
      </w:r>
    </w:p>
    <w:p w14:paraId="188D185C">
      <w:pPr>
        <w:spacing w:line="360" w:lineRule="auto"/>
        <w:outlineLvl w:val="0"/>
        <w:rPr>
          <w:rFonts w:cs="Arial" w:asciiTheme="minorEastAsia" w:hAnsiTheme="minorEastAsia" w:eastAsiaTheme="minorEastAsia"/>
          <w:sz w:val="24"/>
        </w:rPr>
      </w:pPr>
      <w:r>
        <w:rPr>
          <w:rFonts w:hint="eastAsia" w:cs="Arial" w:asciiTheme="minorEastAsia" w:hAnsiTheme="minorEastAsia" w:eastAsiaTheme="minorEastAsia"/>
          <w:b/>
          <w:bCs/>
          <w:sz w:val="24"/>
          <w:lang w:val="en-US" w:eastAsia="zh-CN"/>
        </w:rPr>
        <w:t>九</w:t>
      </w:r>
      <w:r>
        <w:rPr>
          <w:rFonts w:hint="eastAsia" w:cs="Arial" w:asciiTheme="minorEastAsia" w:hAnsiTheme="minorEastAsia" w:eastAsiaTheme="minorEastAsia"/>
          <w:b/>
          <w:bCs/>
          <w:sz w:val="24"/>
          <w:lang w:val="zh-CN"/>
        </w:rPr>
        <w:t>、</w:t>
      </w:r>
      <w:r>
        <w:rPr>
          <w:rFonts w:hint="eastAsia" w:cs="Arial" w:asciiTheme="minorEastAsia" w:hAnsiTheme="minorEastAsia" w:eastAsiaTheme="minorEastAsia"/>
          <w:b/>
          <w:bCs/>
          <w:sz w:val="24"/>
        </w:rPr>
        <w:t>评议办法</w:t>
      </w:r>
      <w:r>
        <w:rPr>
          <w:rFonts w:hint="eastAsia" w:cs="Arial" w:asciiTheme="minorEastAsia" w:hAnsiTheme="minorEastAsia" w:eastAsiaTheme="minorEastAsia"/>
          <w:sz w:val="24"/>
        </w:rPr>
        <w:t>：</w:t>
      </w:r>
    </w:p>
    <w:p w14:paraId="33297ED6">
      <w:pPr>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本项目评议时不须报价人参加，根据询价文件要求及报价文件内容进行评议，在满足采购需求的前提下，按“价低者得”的原则确定成交人，评议工作结束后，我校将评议结果在我校网站进行公告。</w:t>
      </w:r>
    </w:p>
    <w:p w14:paraId="2C7A8F12">
      <w:pPr>
        <w:spacing w:line="360" w:lineRule="auto"/>
        <w:outlineLvl w:val="0"/>
        <w:rPr>
          <w:rFonts w:asciiTheme="minorEastAsia" w:hAnsiTheme="minorEastAsia" w:eastAsiaTheme="minorEastAsia"/>
          <w:b/>
          <w:bCs/>
          <w:sz w:val="24"/>
        </w:rPr>
      </w:pPr>
      <w:r>
        <w:rPr>
          <w:rFonts w:hint="eastAsia" w:cs="Arial" w:asciiTheme="minorEastAsia" w:hAnsiTheme="minorEastAsia" w:eastAsiaTheme="minorEastAsia"/>
          <w:b/>
          <w:bCs/>
          <w:sz w:val="24"/>
          <w:lang w:val="en-US" w:eastAsia="zh-CN"/>
        </w:rPr>
        <w:t>十</w:t>
      </w:r>
      <w:r>
        <w:rPr>
          <w:rFonts w:hint="eastAsia" w:cs="Arial" w:asciiTheme="minorEastAsia" w:hAnsiTheme="minorEastAsia" w:eastAsiaTheme="minorEastAsia"/>
          <w:b/>
          <w:bCs/>
          <w:sz w:val="24"/>
        </w:rPr>
        <w:t>、合同格式</w:t>
      </w:r>
    </w:p>
    <w:bookmarkEnd w:id="0"/>
    <w:p w14:paraId="16CF3FB6">
      <w:pPr>
        <w:widowControl w:val="0"/>
        <w:shd w:val="clear" w:color="auto" w:fill="FFFFFF"/>
        <w:spacing w:after="120" w:line="300" w:lineRule="auto"/>
        <w:jc w:val="center"/>
        <w:outlineLvl w:val="0"/>
        <w:rPr>
          <w:rFonts w:ascii="宋体" w:hAnsi="宋体" w:eastAsia="宋体" w:cs="宋体"/>
          <w:b/>
          <w:bCs/>
          <w:sz w:val="24"/>
          <w:szCs w:val="30"/>
          <w:lang w:val="en-US" w:eastAsia="zh-CN" w:bidi="ar-SA"/>
        </w:rPr>
      </w:pPr>
      <w:bookmarkStart w:id="4" w:name="_Hlk162860430"/>
      <w:r>
        <w:rPr>
          <w:rFonts w:ascii="宋体" w:hAnsi="宋体" w:eastAsia="宋体" w:cs="宋体"/>
          <w:b/>
          <w:bCs/>
          <w:sz w:val="24"/>
          <w:szCs w:val="30"/>
          <w:lang w:val="en-US" w:eastAsia="zh-CN" w:bidi="ar-SA"/>
        </w:rPr>
        <w:t>广州市政府采购合同</w:t>
      </w:r>
    </w:p>
    <w:p w14:paraId="44E3D011">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总    则</w:t>
      </w:r>
    </w:p>
    <w:p w14:paraId="163FE7DB">
      <w:pPr>
        <w:widowControl/>
        <w:spacing w:after="120" w:line="300" w:lineRule="auto"/>
        <w:ind w:firstLine="482" w:firstLineChars="200"/>
        <w:rPr>
          <w:rFonts w:ascii="Times New Roman" w:hAnsi="Times New Roman" w:eastAsia="宋体" w:cs="Times New Roman"/>
          <w:sz w:val="24"/>
          <w:lang w:val="en-US" w:eastAsia="zh-CN" w:bidi="ar-SA"/>
        </w:rPr>
      </w:pPr>
      <w:r>
        <w:rPr>
          <w:rFonts w:ascii="Times New Roman" w:hAnsi="Times New Roman" w:eastAsia="宋体" w:cs="Times New Roman"/>
          <w:b/>
          <w:sz w:val="24"/>
          <w:lang w:val="en-US" w:eastAsia="zh-CN" w:bidi="ar-SA"/>
        </w:rPr>
        <w:t>第一条</w:t>
      </w:r>
      <w:r>
        <w:rPr>
          <w:rFonts w:ascii="Times New Roman" w:hAnsi="Times New Roman" w:eastAsia="宋体" w:cs="Times New Roman"/>
          <w:sz w:val="24"/>
          <w:lang w:val="en-US" w:eastAsia="zh-CN" w:bidi="ar-SA"/>
        </w:rPr>
        <w:t xml:space="preserve">  合同当事人</w:t>
      </w:r>
    </w:p>
    <w:p w14:paraId="1AF80B06">
      <w:pPr>
        <w:widowControl/>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甲方（采购人）：</w:t>
      </w:r>
    </w:p>
    <w:p w14:paraId="544FD6A1">
      <w:pPr>
        <w:widowControl/>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乙方（成交供应商）：</w:t>
      </w:r>
    </w:p>
    <w:p w14:paraId="01F3530D">
      <w:pPr>
        <w:widowControl/>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根据《中华人民共和国民法典》、《中华人民共和国政府采购法》及广州公共资源交易中心“广州大学学生公寓改造项目”（项目编号：       ）谈判文件的要求和谈判结果，经甲乙双方协商一致，签订本合同。双方共同遵守如下条款（其他有关合同项目的特定信息由合同附件予以说明，合同附件及本项目的谈判文件、响应文件、成交通知书、在实施过程中双方共同签署的补充文件等均为本合同不可分割之一部分）。</w:t>
      </w:r>
    </w:p>
    <w:p w14:paraId="64688DB0">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合同标的</w:t>
      </w:r>
    </w:p>
    <w:p w14:paraId="1A0A1A2A">
      <w:pPr>
        <w:widowControl/>
        <w:spacing w:after="120" w:line="300" w:lineRule="auto"/>
        <w:ind w:firstLine="482" w:firstLineChars="200"/>
        <w:rPr>
          <w:rFonts w:ascii="Times New Roman" w:hAnsi="Times New Roman" w:eastAsia="宋体" w:cs="Times New Roman"/>
          <w:sz w:val="24"/>
          <w:lang w:val="en-US" w:eastAsia="zh-CN" w:bidi="ar-SA"/>
        </w:rPr>
      </w:pPr>
      <w:r>
        <w:rPr>
          <w:rFonts w:ascii="Times New Roman" w:hAnsi="Times New Roman" w:eastAsia="宋体" w:cs="Times New Roman"/>
          <w:b/>
          <w:sz w:val="24"/>
          <w:lang w:val="en-US" w:eastAsia="zh-CN" w:bidi="ar-SA"/>
        </w:rPr>
        <w:t>第二条</w:t>
      </w:r>
      <w:r>
        <w:rPr>
          <w:rFonts w:ascii="Times New Roman" w:hAnsi="Times New Roman" w:eastAsia="宋体" w:cs="Times New Roman"/>
          <w:sz w:val="24"/>
          <w:lang w:val="en-US" w:eastAsia="zh-CN" w:bidi="ar-SA"/>
        </w:rPr>
        <w:t xml:space="preserve">  乙方根据甲方要求提供以下货物：</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291"/>
        <w:gridCol w:w="818"/>
        <w:gridCol w:w="1021"/>
        <w:gridCol w:w="1021"/>
        <w:gridCol w:w="1364"/>
        <w:gridCol w:w="1707"/>
      </w:tblGrid>
      <w:tr w14:paraId="3E21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0" w:type="pct"/>
            <w:vAlign w:val="center"/>
          </w:tcPr>
          <w:p w14:paraId="4577CBC3">
            <w:pPr>
              <w:widowControl/>
              <w:spacing w:line="360" w:lineRule="auto"/>
              <w:jc w:val="center"/>
              <w:rPr>
                <w:rFonts w:ascii="宋体" w:hAnsi="宋体" w:cs="Arial"/>
                <w:kern w:val="0"/>
                <w:sz w:val="24"/>
                <w:szCs w:val="24"/>
              </w:rPr>
            </w:pPr>
            <w:r>
              <w:rPr>
                <w:rFonts w:hint="eastAsia" w:ascii="宋体" w:hAnsi="宋体" w:cs="Arial"/>
                <w:kern w:val="0"/>
                <w:sz w:val="24"/>
                <w:szCs w:val="24"/>
              </w:rPr>
              <w:t>货物品名</w:t>
            </w:r>
          </w:p>
        </w:tc>
        <w:tc>
          <w:tcPr>
            <w:tcW w:w="757" w:type="pct"/>
            <w:vAlign w:val="center"/>
          </w:tcPr>
          <w:p w14:paraId="72FFB264">
            <w:pPr>
              <w:widowControl/>
              <w:spacing w:line="360" w:lineRule="auto"/>
              <w:jc w:val="center"/>
              <w:rPr>
                <w:rFonts w:ascii="宋体" w:hAnsi="宋体" w:cs="Arial"/>
                <w:kern w:val="0"/>
                <w:sz w:val="24"/>
                <w:szCs w:val="24"/>
              </w:rPr>
            </w:pPr>
            <w:r>
              <w:rPr>
                <w:rFonts w:hint="eastAsia" w:ascii="宋体" w:hAnsi="宋体" w:cs="Arial"/>
                <w:kern w:val="0"/>
                <w:sz w:val="24"/>
                <w:szCs w:val="24"/>
              </w:rPr>
              <w:t>规格型号</w:t>
            </w:r>
          </w:p>
        </w:tc>
        <w:tc>
          <w:tcPr>
            <w:tcW w:w="480" w:type="pct"/>
            <w:vAlign w:val="center"/>
          </w:tcPr>
          <w:p w14:paraId="09938EC5">
            <w:pPr>
              <w:widowControl/>
              <w:spacing w:line="360" w:lineRule="auto"/>
              <w:jc w:val="center"/>
              <w:rPr>
                <w:rFonts w:ascii="宋体" w:hAnsi="宋体" w:cs="Arial"/>
                <w:kern w:val="0"/>
                <w:sz w:val="24"/>
                <w:szCs w:val="24"/>
              </w:rPr>
            </w:pPr>
            <w:r>
              <w:rPr>
                <w:rFonts w:hint="eastAsia" w:ascii="宋体" w:hAnsi="宋体" w:cs="Arial"/>
                <w:kern w:val="0"/>
                <w:sz w:val="24"/>
                <w:szCs w:val="24"/>
              </w:rPr>
              <w:t>单位</w:t>
            </w:r>
          </w:p>
        </w:tc>
        <w:tc>
          <w:tcPr>
            <w:tcW w:w="599" w:type="pct"/>
            <w:vAlign w:val="center"/>
          </w:tcPr>
          <w:p w14:paraId="0F0905C0">
            <w:pPr>
              <w:widowControl/>
              <w:spacing w:line="360" w:lineRule="auto"/>
              <w:ind w:left="120"/>
              <w:jc w:val="left"/>
              <w:rPr>
                <w:rFonts w:ascii="宋体" w:hAnsi="宋体" w:cs="Arial"/>
                <w:kern w:val="0"/>
                <w:sz w:val="24"/>
                <w:szCs w:val="24"/>
              </w:rPr>
            </w:pPr>
            <w:r>
              <w:rPr>
                <w:rFonts w:hint="eastAsia" w:ascii="宋体" w:hAnsi="宋体" w:cs="Arial"/>
                <w:kern w:val="0"/>
                <w:sz w:val="24"/>
                <w:szCs w:val="24"/>
              </w:rPr>
              <w:t>数量</w:t>
            </w:r>
          </w:p>
        </w:tc>
        <w:tc>
          <w:tcPr>
            <w:tcW w:w="599" w:type="pct"/>
            <w:vAlign w:val="center"/>
          </w:tcPr>
          <w:p w14:paraId="07FB51DE">
            <w:pPr>
              <w:widowControl/>
              <w:spacing w:line="360" w:lineRule="auto"/>
              <w:jc w:val="center"/>
              <w:rPr>
                <w:rFonts w:ascii="宋体" w:hAnsi="宋体" w:cs="Arial"/>
                <w:kern w:val="0"/>
                <w:sz w:val="24"/>
                <w:szCs w:val="24"/>
              </w:rPr>
            </w:pPr>
            <w:r>
              <w:rPr>
                <w:rFonts w:hint="eastAsia" w:ascii="宋体" w:hAnsi="宋体" w:cs="Arial"/>
                <w:kern w:val="0"/>
                <w:sz w:val="24"/>
                <w:szCs w:val="24"/>
              </w:rPr>
              <w:t>单价</w:t>
            </w:r>
          </w:p>
        </w:tc>
        <w:tc>
          <w:tcPr>
            <w:tcW w:w="800" w:type="pct"/>
            <w:vAlign w:val="center"/>
          </w:tcPr>
          <w:p w14:paraId="175BBEBB">
            <w:pPr>
              <w:widowControl/>
              <w:spacing w:line="360" w:lineRule="auto"/>
              <w:jc w:val="center"/>
              <w:rPr>
                <w:rFonts w:ascii="宋体" w:hAnsi="宋体" w:cs="Arial"/>
                <w:kern w:val="0"/>
                <w:sz w:val="24"/>
                <w:szCs w:val="24"/>
              </w:rPr>
            </w:pPr>
            <w:r>
              <w:rPr>
                <w:rFonts w:hint="eastAsia" w:ascii="宋体" w:hAnsi="宋体" w:cs="Arial"/>
                <w:kern w:val="0"/>
                <w:sz w:val="24"/>
                <w:szCs w:val="24"/>
              </w:rPr>
              <w:t>总价</w:t>
            </w:r>
          </w:p>
        </w:tc>
        <w:tc>
          <w:tcPr>
            <w:tcW w:w="1001" w:type="pct"/>
            <w:vAlign w:val="center"/>
          </w:tcPr>
          <w:p w14:paraId="2158E7FD">
            <w:pPr>
              <w:widowControl/>
              <w:spacing w:line="360" w:lineRule="auto"/>
              <w:jc w:val="center"/>
              <w:rPr>
                <w:rFonts w:ascii="宋体" w:hAnsi="宋体" w:cs="Arial"/>
                <w:kern w:val="0"/>
                <w:sz w:val="24"/>
                <w:szCs w:val="24"/>
              </w:rPr>
            </w:pPr>
            <w:r>
              <w:rPr>
                <w:rFonts w:hint="eastAsia" w:ascii="宋体" w:hAnsi="宋体" w:cs="Arial"/>
                <w:kern w:val="0"/>
                <w:sz w:val="24"/>
                <w:szCs w:val="24"/>
              </w:rPr>
              <w:t>随机配件</w:t>
            </w:r>
          </w:p>
        </w:tc>
      </w:tr>
      <w:tr w14:paraId="7AF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0" w:type="pct"/>
            <w:vAlign w:val="center"/>
          </w:tcPr>
          <w:p w14:paraId="3F32CB9C">
            <w:pPr>
              <w:bidi w:val="0"/>
            </w:pPr>
          </w:p>
        </w:tc>
        <w:tc>
          <w:tcPr>
            <w:tcW w:w="757" w:type="pct"/>
            <w:vAlign w:val="center"/>
          </w:tcPr>
          <w:p w14:paraId="1212F972">
            <w:pPr>
              <w:bidi w:val="0"/>
            </w:pPr>
          </w:p>
        </w:tc>
        <w:tc>
          <w:tcPr>
            <w:tcW w:w="480" w:type="pct"/>
            <w:vAlign w:val="center"/>
          </w:tcPr>
          <w:p w14:paraId="53B3660A">
            <w:pPr>
              <w:bidi w:val="0"/>
            </w:pPr>
          </w:p>
        </w:tc>
        <w:tc>
          <w:tcPr>
            <w:tcW w:w="599" w:type="pct"/>
            <w:vAlign w:val="center"/>
          </w:tcPr>
          <w:p w14:paraId="31F72BBD">
            <w:pPr>
              <w:bidi w:val="0"/>
            </w:pPr>
          </w:p>
        </w:tc>
        <w:tc>
          <w:tcPr>
            <w:tcW w:w="599" w:type="pct"/>
            <w:vAlign w:val="center"/>
          </w:tcPr>
          <w:p w14:paraId="4FC9BA68">
            <w:pPr>
              <w:bidi w:val="0"/>
            </w:pPr>
          </w:p>
        </w:tc>
        <w:tc>
          <w:tcPr>
            <w:tcW w:w="800" w:type="pct"/>
            <w:vAlign w:val="center"/>
          </w:tcPr>
          <w:p w14:paraId="748E9349">
            <w:pPr>
              <w:bidi w:val="0"/>
            </w:pPr>
          </w:p>
        </w:tc>
        <w:tc>
          <w:tcPr>
            <w:tcW w:w="1001" w:type="pct"/>
            <w:vAlign w:val="center"/>
          </w:tcPr>
          <w:p w14:paraId="73F390E4">
            <w:pPr>
              <w:bidi w:val="0"/>
            </w:pPr>
          </w:p>
        </w:tc>
      </w:tr>
      <w:tr w14:paraId="44EB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0" w:type="pct"/>
            <w:vAlign w:val="center"/>
          </w:tcPr>
          <w:p w14:paraId="1494BA4A">
            <w:pPr>
              <w:bidi w:val="0"/>
            </w:pPr>
          </w:p>
        </w:tc>
        <w:tc>
          <w:tcPr>
            <w:tcW w:w="757" w:type="pct"/>
            <w:vAlign w:val="center"/>
          </w:tcPr>
          <w:p w14:paraId="11AF9E9D">
            <w:pPr>
              <w:bidi w:val="0"/>
            </w:pPr>
          </w:p>
        </w:tc>
        <w:tc>
          <w:tcPr>
            <w:tcW w:w="480" w:type="pct"/>
            <w:vAlign w:val="center"/>
          </w:tcPr>
          <w:p w14:paraId="0F34AE99">
            <w:pPr>
              <w:bidi w:val="0"/>
            </w:pPr>
          </w:p>
        </w:tc>
        <w:tc>
          <w:tcPr>
            <w:tcW w:w="599" w:type="pct"/>
            <w:vAlign w:val="center"/>
          </w:tcPr>
          <w:p w14:paraId="1AA66C0F">
            <w:pPr>
              <w:bidi w:val="0"/>
            </w:pPr>
          </w:p>
        </w:tc>
        <w:tc>
          <w:tcPr>
            <w:tcW w:w="599" w:type="pct"/>
            <w:vAlign w:val="center"/>
          </w:tcPr>
          <w:p w14:paraId="13269ED3">
            <w:pPr>
              <w:bidi w:val="0"/>
            </w:pPr>
          </w:p>
        </w:tc>
        <w:tc>
          <w:tcPr>
            <w:tcW w:w="800" w:type="pct"/>
            <w:vAlign w:val="center"/>
          </w:tcPr>
          <w:p w14:paraId="416F39D7">
            <w:pPr>
              <w:bidi w:val="0"/>
            </w:pPr>
          </w:p>
        </w:tc>
        <w:tc>
          <w:tcPr>
            <w:tcW w:w="1001" w:type="pct"/>
            <w:vAlign w:val="center"/>
          </w:tcPr>
          <w:p w14:paraId="298E37D2">
            <w:pPr>
              <w:bidi w:val="0"/>
            </w:pPr>
          </w:p>
        </w:tc>
      </w:tr>
      <w:tr w14:paraId="2DAB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0" w:type="pct"/>
            <w:vAlign w:val="center"/>
          </w:tcPr>
          <w:p w14:paraId="25FDEFF4">
            <w:pPr>
              <w:bidi w:val="0"/>
            </w:pPr>
          </w:p>
        </w:tc>
        <w:tc>
          <w:tcPr>
            <w:tcW w:w="757" w:type="pct"/>
            <w:vAlign w:val="center"/>
          </w:tcPr>
          <w:p w14:paraId="375CC699">
            <w:pPr>
              <w:bidi w:val="0"/>
            </w:pPr>
          </w:p>
        </w:tc>
        <w:tc>
          <w:tcPr>
            <w:tcW w:w="480" w:type="pct"/>
            <w:vAlign w:val="center"/>
          </w:tcPr>
          <w:p w14:paraId="6E4A1F85">
            <w:pPr>
              <w:bidi w:val="0"/>
            </w:pPr>
          </w:p>
        </w:tc>
        <w:tc>
          <w:tcPr>
            <w:tcW w:w="599" w:type="pct"/>
            <w:vAlign w:val="center"/>
          </w:tcPr>
          <w:p w14:paraId="6817E923">
            <w:pPr>
              <w:bidi w:val="0"/>
            </w:pPr>
          </w:p>
        </w:tc>
        <w:tc>
          <w:tcPr>
            <w:tcW w:w="599" w:type="pct"/>
            <w:vAlign w:val="center"/>
          </w:tcPr>
          <w:p w14:paraId="107002BD">
            <w:pPr>
              <w:bidi w:val="0"/>
            </w:pPr>
          </w:p>
        </w:tc>
        <w:tc>
          <w:tcPr>
            <w:tcW w:w="800" w:type="pct"/>
            <w:vAlign w:val="center"/>
          </w:tcPr>
          <w:p w14:paraId="2EEA1449">
            <w:pPr>
              <w:bidi w:val="0"/>
            </w:pPr>
          </w:p>
        </w:tc>
        <w:tc>
          <w:tcPr>
            <w:tcW w:w="1001" w:type="pct"/>
            <w:vAlign w:val="center"/>
          </w:tcPr>
          <w:p w14:paraId="3DF9F68A">
            <w:pPr>
              <w:bidi w:val="0"/>
            </w:pPr>
          </w:p>
        </w:tc>
      </w:tr>
    </w:tbl>
    <w:p w14:paraId="2FCA9A1F">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质    量</w:t>
      </w:r>
    </w:p>
    <w:p w14:paraId="7406ACB3">
      <w:pPr>
        <w:widowControl/>
        <w:spacing w:after="120" w:line="300" w:lineRule="auto"/>
        <w:ind w:firstLine="482" w:firstLineChars="200"/>
        <w:rPr>
          <w:rFonts w:ascii="Times New Roman" w:hAnsi="Times New Roman" w:eastAsia="宋体" w:cs="Times New Roman"/>
          <w:sz w:val="24"/>
          <w:lang w:val="en-US" w:eastAsia="zh-CN" w:bidi="ar-SA"/>
        </w:rPr>
      </w:pPr>
      <w:r>
        <w:rPr>
          <w:rFonts w:ascii="Times New Roman" w:hAnsi="Times New Roman" w:eastAsia="宋体" w:cs="Times New Roman"/>
          <w:b/>
          <w:sz w:val="24"/>
          <w:lang w:val="en-US" w:eastAsia="zh-CN" w:bidi="ar-SA"/>
        </w:rPr>
        <w:t>第三条</w:t>
      </w:r>
      <w:r>
        <w:rPr>
          <w:rFonts w:ascii="Times New Roman" w:hAnsi="Times New Roman" w:eastAsia="宋体" w:cs="Times New Roman"/>
          <w:sz w:val="24"/>
          <w:lang w:val="en-US" w:eastAsia="zh-CN" w:bidi="ar-SA"/>
        </w:rPr>
        <w:t xml:space="preserve">  货物质量</w:t>
      </w:r>
    </w:p>
    <w:p w14:paraId="2110DF97">
      <w:pPr>
        <w:widowControl/>
        <w:numPr>
          <w:ilvl w:val="0"/>
          <w:numId w:val="8"/>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乙方须提供全新的、未使用过的货物，是目前的型号，其质量、规格及技术特征符合合同附件的要求。</w:t>
      </w:r>
    </w:p>
    <w:p w14:paraId="68916482">
      <w:pPr>
        <w:widowControl/>
        <w:numPr>
          <w:ilvl w:val="0"/>
          <w:numId w:val="8"/>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产品必须提供出厂合格证。</w:t>
      </w:r>
    </w:p>
    <w:p w14:paraId="53E62F0A">
      <w:pPr>
        <w:widowControl/>
        <w:numPr>
          <w:ilvl w:val="0"/>
          <w:numId w:val="8"/>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货物制造质量出现问题，乙方应负责三包（包修、包换、包退），费用由乙方负责。</w:t>
      </w:r>
    </w:p>
    <w:p w14:paraId="2CD4C0B4">
      <w:pPr>
        <w:widowControl/>
        <w:numPr>
          <w:ilvl w:val="0"/>
          <w:numId w:val="8"/>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货到现场后由于甲方保管不当造成的质量问题，乙方亦应负责修理，但费用由甲方负担。</w:t>
      </w:r>
    </w:p>
    <w:p w14:paraId="7292F130">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交货与验收</w:t>
      </w:r>
    </w:p>
    <w:p w14:paraId="078C4F77">
      <w:pPr>
        <w:widowControl/>
        <w:numPr>
          <w:ilvl w:val="0"/>
          <w:numId w:val="9"/>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交货验收、安装调试必须在合同签订后</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天内完成。</w:t>
      </w:r>
    </w:p>
    <w:p w14:paraId="71462383">
      <w:pPr>
        <w:widowControl/>
        <w:numPr>
          <w:ilvl w:val="0"/>
          <w:numId w:val="9"/>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交货地点：甲方指定地点。</w:t>
      </w:r>
    </w:p>
    <w:p w14:paraId="03871E64">
      <w:pPr>
        <w:widowControl/>
        <w:numPr>
          <w:ilvl w:val="0"/>
          <w:numId w:val="9"/>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由甲方与乙方一起进行到货验收，由乙方免费完成货物的安装调试工作并交付甲方使用。</w:t>
      </w:r>
    </w:p>
    <w:p w14:paraId="3A4F43C4">
      <w:pPr>
        <w:widowControl/>
        <w:numPr>
          <w:ilvl w:val="0"/>
          <w:numId w:val="9"/>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应将所提供货物的装箱清单、用户手册、原厂保修卡、随机资料及配件、随机工具等交付给甲方；乙方不能完整交付货物及本款规定的单证和工具的，视为未按合同约定供货，乙方必须负责补齐，因此导致逾期交付的，由乙方承担相关的违约责任。</w:t>
      </w:r>
    </w:p>
    <w:p w14:paraId="3523A0E7">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合同金额及付款方式</w:t>
      </w:r>
    </w:p>
    <w:p w14:paraId="4CDD8BFF">
      <w:pPr>
        <w:widowControl/>
        <w:numPr>
          <w:ilvl w:val="0"/>
          <w:numId w:val="10"/>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合同金额</w:t>
      </w:r>
    </w:p>
    <w:p w14:paraId="48B14949">
      <w:pPr>
        <w:widowControl w:val="0"/>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本合同金额为人民币（大写）</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元整（￥</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元）。该合同总价是货物设计、制造、包装、运输、安装调试、检测及验收合格之前及质保期内服务及备品备件发生的所有含税费用。本合同执行期间合同总价不变。</w:t>
      </w:r>
    </w:p>
    <w:p w14:paraId="449BF033">
      <w:pPr>
        <w:widowControl w:val="0"/>
        <w:numPr>
          <w:ilvl w:val="0"/>
          <w:numId w:val="10"/>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付款方式</w:t>
      </w:r>
    </w:p>
    <w:p w14:paraId="1BB5B749">
      <w:pPr>
        <w:widowControl/>
        <w:spacing w:after="120" w:line="300" w:lineRule="auto"/>
        <w:ind w:firstLine="480" w:firstLineChars="20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按采购文件第二章采购需求的规定。</w:t>
      </w:r>
    </w:p>
    <w:p w14:paraId="69BE6563">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售后服务</w:t>
      </w:r>
    </w:p>
    <w:p w14:paraId="12BC00DA">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应为甲方提供免费培训服务，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培训地点主要在货物安装现场或由双方约定。</w:t>
      </w:r>
    </w:p>
    <w:p w14:paraId="696C4F72">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质量保证期（简称“质保期”）为</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年。质保期自甲方在货物质量验收单上签字之日起计算，质保费用计入总价。</w:t>
      </w:r>
    </w:p>
    <w:p w14:paraId="709C3366">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质保期内，乙方负责对其提供的货物实行包修、包换、包退、包维护保养，不再收取任何费用，但不可抗力（如火灾、雷击等）造成的故障除外。</w:t>
      </w:r>
    </w:p>
    <w:p w14:paraId="6A55B56F">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货物故障报修</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小时内响应。</w:t>
      </w:r>
    </w:p>
    <w:p w14:paraId="45EA7390">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所有货物质保服务方式均为乙方上门服务，即由乙方派员到货物使用现场维修，由此产生的一切费用均由乙方承担。</w:t>
      </w:r>
    </w:p>
    <w:p w14:paraId="2CB8C185">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质保期后的货物维护由双方协商再定。</w:t>
      </w:r>
    </w:p>
    <w:p w14:paraId="1E3CA354">
      <w:pPr>
        <w:widowControl/>
        <w:numPr>
          <w:ilvl w:val="0"/>
          <w:numId w:val="11"/>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在质保期内，乙方须对所提供的设备做定期检查和保养。</w:t>
      </w:r>
    </w:p>
    <w:p w14:paraId="52505EF3">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违约责任</w:t>
      </w:r>
    </w:p>
    <w:p w14:paraId="7970843E">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甲方无正当理由拒收货物、拒付货款的，甲方须向乙方交纳合同总价5%的违约金。</w:t>
      </w:r>
    </w:p>
    <w:p w14:paraId="5701D549">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甲方逾期支付货款的，甲方须每日以欠款总额5‰的标准向乙方交纳违约金，累计不超过欠款总额的5% 。</w:t>
      </w:r>
    </w:p>
    <w:p w14:paraId="4A9E9543">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乙方逾期15天未交付货物视为乙方不能交付货物。乙方不能交付货物，须向甲方交纳合同总价5%的违约金。</w:t>
      </w:r>
    </w:p>
    <w:p w14:paraId="1986DA00">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乙方逾期交付货物的，乙方须每日以逾期交货部分货款总额5‰的标准向甲方交纳违约金，累计不超过逾期交货部分货款总额的5%，逾期交货超过15天，甲方有权终止合同。</w:t>
      </w:r>
    </w:p>
    <w:p w14:paraId="4674ACA1">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乙方所交付产品的型号、规格、数量和质量不符合合同规定标准的，甲方有权拒收。乙方须向甲方交纳合同总价5%的违约金。</w:t>
      </w:r>
    </w:p>
    <w:p w14:paraId="5D498A11">
      <w:pPr>
        <w:widowControl w:val="0"/>
        <w:numPr>
          <w:ilvl w:val="0"/>
          <w:numId w:val="12"/>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乙方所供货物必须权属清楚，不得侵害他人的知识产权，否则构成对甲方违约。</w:t>
      </w:r>
    </w:p>
    <w:p w14:paraId="73DCB92D">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不可抗力</w:t>
      </w:r>
    </w:p>
    <w:p w14:paraId="410A60A2">
      <w:pPr>
        <w:widowControl/>
        <w:numPr>
          <w:ilvl w:val="0"/>
          <w:numId w:val="13"/>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由于不可预见、不可避免、不可克服等不可抗力的原因，一方不能履行合同义务的，应当在不可抗力发生之日起</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天内以书面形式通知对方，证明不可抗力事件的存在。</w:t>
      </w:r>
    </w:p>
    <w:p w14:paraId="551B039A">
      <w:pPr>
        <w:widowControl/>
        <w:numPr>
          <w:ilvl w:val="0"/>
          <w:numId w:val="13"/>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不可抗力事件发生后，甲方和乙方应当积极寻求以合理的方式履行本合同。如不可抗力无法消除，致使合同目的无法实现的，双方均有权解除合同，且均不互相索赔。</w:t>
      </w:r>
    </w:p>
    <w:p w14:paraId="03D1F26C">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争议及解决办法</w:t>
      </w:r>
    </w:p>
    <w:p w14:paraId="3DCC73AA">
      <w:pPr>
        <w:widowControl/>
        <w:numPr>
          <w:ilvl w:val="0"/>
          <w:numId w:val="14"/>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因货物的质量问题发生争议，由广州市质量技术监督局或其指定的质量鉴定单位进行质量鉴定。货物符合质量标准的，鉴定费由甲方承担；货物不符合质量标准的，鉴定费由乙方承担。</w:t>
      </w:r>
    </w:p>
    <w:p w14:paraId="62831936">
      <w:pPr>
        <w:widowControl/>
        <w:numPr>
          <w:ilvl w:val="0"/>
          <w:numId w:val="14"/>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本合同发生争议，由双方协商或由政府采购监管部门调解解决，协商或调解不成时按以下第</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种方式解决：</w:t>
      </w:r>
    </w:p>
    <w:p w14:paraId="653451EB">
      <w:pPr>
        <w:widowControl/>
        <w:numPr>
          <w:ilvl w:val="0"/>
          <w:numId w:val="1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中国广州仲裁委员会仲裁；</w:t>
      </w:r>
    </w:p>
    <w:p w14:paraId="22A70EC9">
      <w:pPr>
        <w:widowControl/>
        <w:numPr>
          <w:ilvl w:val="0"/>
          <w:numId w:val="15"/>
        </w:numPr>
        <w:spacing w:after="120" w:line="300" w:lineRule="auto"/>
        <w:ind w:left="0" w:firstLine="480" w:firstLineChars="0"/>
        <w:rPr>
          <w:rFonts w:ascii="Times New Roman" w:hAnsi="Times New Roman" w:eastAsia="宋体" w:cs="Times New Roman"/>
          <w:sz w:val="24"/>
          <w:lang w:val="en-US" w:eastAsia="zh-CN" w:bidi="ar-SA"/>
        </w:rPr>
      </w:pPr>
      <w:r>
        <w:rPr>
          <w:rFonts w:ascii="Times New Roman" w:hAnsi="Times New Roman" w:eastAsia="宋体" w:cs="Times New Roman"/>
          <w:sz w:val="24"/>
          <w:lang w:val="en-US" w:eastAsia="zh-CN" w:bidi="ar-SA"/>
        </w:rPr>
        <w:t>向甲方所在地人民法院提起诉讼。</w:t>
      </w:r>
    </w:p>
    <w:p w14:paraId="7D035879">
      <w:pPr>
        <w:widowControl/>
        <w:numPr>
          <w:ilvl w:val="0"/>
          <w:numId w:val="7"/>
        </w:numPr>
        <w:spacing w:before="240" w:after="120" w:line="360" w:lineRule="auto"/>
        <w:ind w:left="0" w:firstLine="0"/>
        <w:jc w:val="left"/>
        <w:outlineLvl w:val="0"/>
        <w:rPr>
          <w:rFonts w:ascii="Calibri" w:hAnsi="Calibri" w:cs="宋体"/>
          <w:b/>
          <w:bCs/>
          <w:kern w:val="44"/>
          <w:sz w:val="24"/>
          <w:szCs w:val="30"/>
        </w:rPr>
      </w:pPr>
      <w:r>
        <w:rPr>
          <w:rFonts w:ascii="Calibri" w:hAnsi="Calibri" w:cs="宋体"/>
          <w:b/>
          <w:bCs/>
          <w:kern w:val="44"/>
          <w:sz w:val="24"/>
          <w:szCs w:val="30"/>
        </w:rPr>
        <w:t>其    他</w:t>
      </w:r>
    </w:p>
    <w:p w14:paraId="0F068D11">
      <w:pPr>
        <w:widowControl/>
        <w:numPr>
          <w:ilvl w:val="0"/>
          <w:numId w:val="16"/>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本合同一式</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份，具有同等效力，甲、乙双方各执</w:t>
      </w:r>
      <w:r>
        <w:rPr>
          <w:rFonts w:ascii="Times New Roman" w:hAnsi="Times New Roman" w:eastAsia="宋体" w:cs="Times New Roman"/>
          <w:sz w:val="24"/>
          <w:u w:val="single"/>
          <w:lang w:val="en-US" w:eastAsia="zh-CN" w:bidi="ar-SA"/>
        </w:rPr>
        <w:t xml:space="preserve">   </w:t>
      </w:r>
      <w:r>
        <w:rPr>
          <w:rFonts w:ascii="Times New Roman" w:hAnsi="Times New Roman" w:eastAsia="宋体" w:cs="Times New Roman"/>
          <w:sz w:val="24"/>
          <w:lang w:val="en-US" w:eastAsia="zh-CN" w:bidi="ar-SA"/>
        </w:rPr>
        <w:t>份。合同自双方签字盖章之日起生效。</w:t>
      </w:r>
    </w:p>
    <w:p w14:paraId="320264E9">
      <w:pPr>
        <w:widowControl/>
        <w:numPr>
          <w:ilvl w:val="0"/>
          <w:numId w:val="16"/>
        </w:numPr>
        <w:spacing w:after="120" w:line="300" w:lineRule="auto"/>
        <w:ind w:left="0" w:firstLine="482" w:firstLineChars="0"/>
        <w:rPr>
          <w:rFonts w:ascii="Times New Roman" w:hAnsi="Times New Roman" w:eastAsia="宋体" w:cs="Times New Roman"/>
          <w:b/>
          <w:sz w:val="24"/>
          <w:lang w:val="en-US" w:eastAsia="zh-CN" w:bidi="ar-SA"/>
        </w:rPr>
      </w:pPr>
      <w:r>
        <w:rPr>
          <w:rFonts w:ascii="Times New Roman" w:hAnsi="Times New Roman" w:eastAsia="宋体" w:cs="Times New Roman"/>
          <w:sz w:val="24"/>
          <w:lang w:val="en-US" w:eastAsia="zh-CN" w:bidi="ar-SA"/>
        </w:rPr>
        <w:t>本合同未尽事宜，由双方协商处理。</w:t>
      </w:r>
    </w:p>
    <w:p w14:paraId="6A5AE324">
      <w:pPr>
        <w:widowControl/>
        <w:spacing w:line="360" w:lineRule="auto"/>
        <w:jc w:val="left"/>
        <w:rPr>
          <w:rFonts w:ascii="宋体" w:hAnsi="宋体" w:cs="Arial"/>
          <w:kern w:val="0"/>
          <w:sz w:val="24"/>
          <w:szCs w:val="24"/>
        </w:rPr>
      </w:pPr>
    </w:p>
    <w:p w14:paraId="4282F091">
      <w:pPr>
        <w:widowControl/>
        <w:spacing w:line="276" w:lineRule="auto"/>
        <w:jc w:val="left"/>
        <w:rPr>
          <w:rFonts w:ascii="宋体" w:hAnsi="宋体" w:cs="Arial"/>
          <w:kern w:val="0"/>
          <w:sz w:val="24"/>
          <w:szCs w:val="24"/>
        </w:rPr>
      </w:pPr>
    </w:p>
    <w:p w14:paraId="36AFFAD6">
      <w:pPr>
        <w:widowControl/>
        <w:tabs>
          <w:tab w:val="left" w:pos="840"/>
        </w:tabs>
        <w:spacing w:line="276" w:lineRule="auto"/>
        <w:ind w:left="456"/>
        <w:jc w:val="center"/>
        <w:rPr>
          <w:rFonts w:ascii="宋体" w:hAnsi="宋体"/>
          <w:b/>
          <w:kern w:val="0"/>
          <w:sz w:val="24"/>
          <w:szCs w:val="24"/>
        </w:rPr>
      </w:pPr>
    </w:p>
    <w:tbl>
      <w:tblPr>
        <w:tblStyle w:val="15"/>
        <w:tblW w:w="4998" w:type="pct"/>
        <w:jc w:val="center"/>
        <w:tblLayout w:type="autofit"/>
        <w:tblCellMar>
          <w:top w:w="0" w:type="dxa"/>
          <w:left w:w="108" w:type="dxa"/>
          <w:bottom w:w="0" w:type="dxa"/>
          <w:right w:w="108" w:type="dxa"/>
        </w:tblCellMar>
      </w:tblPr>
      <w:tblGrid>
        <w:gridCol w:w="1304"/>
        <w:gridCol w:w="2805"/>
        <w:gridCol w:w="1452"/>
        <w:gridCol w:w="2958"/>
      </w:tblGrid>
      <w:tr w14:paraId="5C80ACE2">
        <w:tblPrEx>
          <w:tblCellMar>
            <w:top w:w="0" w:type="dxa"/>
            <w:left w:w="108" w:type="dxa"/>
            <w:bottom w:w="0" w:type="dxa"/>
            <w:right w:w="108" w:type="dxa"/>
          </w:tblCellMar>
        </w:tblPrEx>
        <w:trPr>
          <w:trHeight w:val="567" w:hRule="atLeast"/>
          <w:jc w:val="center"/>
        </w:trPr>
        <w:tc>
          <w:tcPr>
            <w:tcW w:w="765" w:type="pct"/>
          </w:tcPr>
          <w:p w14:paraId="399C8749">
            <w:pPr>
              <w:widowControl/>
              <w:spacing w:line="276" w:lineRule="auto"/>
              <w:jc w:val="left"/>
              <w:rPr>
                <w:rFonts w:ascii="宋体" w:hAnsi="宋体" w:cs="Arial"/>
                <w:b/>
                <w:kern w:val="0"/>
                <w:sz w:val="24"/>
                <w:szCs w:val="24"/>
              </w:rPr>
            </w:pPr>
            <w:r>
              <w:rPr>
                <w:rFonts w:hint="eastAsia" w:ascii="宋体" w:hAnsi="宋体" w:cs="Arial"/>
                <w:b/>
                <w:kern w:val="0"/>
                <w:sz w:val="24"/>
                <w:szCs w:val="24"/>
              </w:rPr>
              <w:t>甲方：</w:t>
            </w:r>
          </w:p>
        </w:tc>
        <w:tc>
          <w:tcPr>
            <w:tcW w:w="1646" w:type="pct"/>
          </w:tcPr>
          <w:p w14:paraId="729506DD">
            <w:pPr>
              <w:widowControl/>
              <w:spacing w:line="276" w:lineRule="auto"/>
              <w:jc w:val="right"/>
              <w:rPr>
                <w:rFonts w:ascii="宋体" w:hAnsi="宋体" w:cs="Arial"/>
                <w:kern w:val="0"/>
                <w:sz w:val="24"/>
                <w:szCs w:val="24"/>
              </w:rPr>
            </w:pPr>
            <w:r>
              <w:rPr>
                <w:rFonts w:hint="eastAsia" w:ascii="宋体" w:hAnsi="宋体" w:cs="Arial"/>
                <w:kern w:val="0"/>
                <w:sz w:val="24"/>
                <w:szCs w:val="24"/>
              </w:rPr>
              <w:t>（盖章）</w:t>
            </w:r>
          </w:p>
        </w:tc>
        <w:tc>
          <w:tcPr>
            <w:tcW w:w="852" w:type="pct"/>
          </w:tcPr>
          <w:p w14:paraId="424C407E">
            <w:pPr>
              <w:widowControl/>
              <w:spacing w:line="276" w:lineRule="auto"/>
              <w:jc w:val="left"/>
              <w:rPr>
                <w:rFonts w:ascii="宋体" w:hAnsi="宋体" w:cs="Arial"/>
                <w:b/>
                <w:kern w:val="0"/>
                <w:sz w:val="24"/>
                <w:szCs w:val="24"/>
              </w:rPr>
            </w:pPr>
            <w:r>
              <w:rPr>
                <w:rFonts w:hint="eastAsia" w:ascii="宋体" w:hAnsi="宋体" w:cs="Arial"/>
                <w:b/>
                <w:kern w:val="0"/>
                <w:sz w:val="24"/>
                <w:szCs w:val="24"/>
              </w:rPr>
              <w:t>乙方：</w:t>
            </w:r>
          </w:p>
        </w:tc>
        <w:tc>
          <w:tcPr>
            <w:tcW w:w="1735" w:type="pct"/>
          </w:tcPr>
          <w:p w14:paraId="406D6516">
            <w:pPr>
              <w:widowControl/>
              <w:spacing w:line="276" w:lineRule="auto"/>
              <w:jc w:val="right"/>
              <w:rPr>
                <w:rFonts w:ascii="宋体" w:hAnsi="宋体" w:cs="Arial"/>
                <w:kern w:val="0"/>
                <w:sz w:val="24"/>
                <w:szCs w:val="24"/>
              </w:rPr>
            </w:pPr>
            <w:r>
              <w:rPr>
                <w:rFonts w:hint="eastAsia" w:ascii="宋体" w:hAnsi="宋体" w:cs="Arial"/>
                <w:kern w:val="0"/>
                <w:sz w:val="24"/>
                <w:szCs w:val="24"/>
              </w:rPr>
              <w:t>（盖章）</w:t>
            </w:r>
          </w:p>
        </w:tc>
      </w:tr>
      <w:tr w14:paraId="137F537D">
        <w:tblPrEx>
          <w:tblCellMar>
            <w:top w:w="0" w:type="dxa"/>
            <w:left w:w="108" w:type="dxa"/>
            <w:bottom w:w="0" w:type="dxa"/>
            <w:right w:w="108" w:type="dxa"/>
          </w:tblCellMar>
        </w:tblPrEx>
        <w:trPr>
          <w:trHeight w:val="567" w:hRule="atLeast"/>
          <w:jc w:val="center"/>
        </w:trPr>
        <w:tc>
          <w:tcPr>
            <w:tcW w:w="765" w:type="pct"/>
          </w:tcPr>
          <w:p w14:paraId="77A9C9B4">
            <w:pPr>
              <w:widowControl/>
              <w:spacing w:line="276" w:lineRule="auto"/>
              <w:jc w:val="left"/>
              <w:rPr>
                <w:rFonts w:ascii="宋体" w:hAnsi="宋体" w:cs="Arial"/>
                <w:b/>
                <w:kern w:val="0"/>
                <w:sz w:val="24"/>
                <w:szCs w:val="24"/>
              </w:rPr>
            </w:pPr>
            <w:r>
              <w:rPr>
                <w:rFonts w:hint="eastAsia" w:ascii="宋体" w:hAnsi="宋体" w:cs="Arial"/>
                <w:b/>
                <w:kern w:val="0"/>
                <w:sz w:val="24"/>
                <w:szCs w:val="24"/>
              </w:rPr>
              <w:t>签约代表：</w:t>
            </w:r>
          </w:p>
        </w:tc>
        <w:tc>
          <w:tcPr>
            <w:tcW w:w="1646" w:type="pct"/>
          </w:tcPr>
          <w:p w14:paraId="02226C4D">
            <w:pPr>
              <w:widowControl/>
              <w:spacing w:line="276" w:lineRule="auto"/>
              <w:jc w:val="left"/>
              <w:rPr>
                <w:rFonts w:ascii="宋体" w:hAnsi="宋体" w:cs="Arial"/>
                <w:kern w:val="0"/>
                <w:sz w:val="24"/>
                <w:szCs w:val="24"/>
              </w:rPr>
            </w:pPr>
          </w:p>
        </w:tc>
        <w:tc>
          <w:tcPr>
            <w:tcW w:w="852" w:type="pct"/>
          </w:tcPr>
          <w:p w14:paraId="67BB6892">
            <w:pPr>
              <w:widowControl/>
              <w:spacing w:line="276" w:lineRule="auto"/>
              <w:jc w:val="left"/>
              <w:rPr>
                <w:rFonts w:ascii="宋体" w:hAnsi="宋体" w:cs="Arial"/>
                <w:b/>
                <w:kern w:val="0"/>
                <w:sz w:val="24"/>
                <w:szCs w:val="24"/>
              </w:rPr>
            </w:pPr>
            <w:r>
              <w:rPr>
                <w:rFonts w:hint="eastAsia" w:ascii="宋体" w:hAnsi="宋体" w:cs="Arial"/>
                <w:b/>
                <w:kern w:val="0"/>
                <w:sz w:val="24"/>
                <w:szCs w:val="24"/>
              </w:rPr>
              <w:t>签约代表：</w:t>
            </w:r>
          </w:p>
        </w:tc>
        <w:tc>
          <w:tcPr>
            <w:tcW w:w="1735" w:type="pct"/>
          </w:tcPr>
          <w:p w14:paraId="23FC2EB5">
            <w:pPr>
              <w:widowControl/>
              <w:spacing w:line="276" w:lineRule="auto"/>
              <w:jc w:val="left"/>
              <w:rPr>
                <w:rFonts w:ascii="宋体" w:hAnsi="宋体" w:cs="Arial"/>
                <w:kern w:val="0"/>
                <w:sz w:val="24"/>
                <w:szCs w:val="24"/>
              </w:rPr>
            </w:pPr>
          </w:p>
        </w:tc>
      </w:tr>
      <w:tr w14:paraId="5CC5ED40">
        <w:tblPrEx>
          <w:tblCellMar>
            <w:top w:w="0" w:type="dxa"/>
            <w:left w:w="108" w:type="dxa"/>
            <w:bottom w:w="0" w:type="dxa"/>
            <w:right w:w="108" w:type="dxa"/>
          </w:tblCellMar>
        </w:tblPrEx>
        <w:trPr>
          <w:trHeight w:val="567" w:hRule="atLeast"/>
          <w:jc w:val="center"/>
        </w:trPr>
        <w:tc>
          <w:tcPr>
            <w:tcW w:w="765" w:type="pct"/>
          </w:tcPr>
          <w:p w14:paraId="5C3B8334">
            <w:pPr>
              <w:widowControl/>
              <w:spacing w:line="276" w:lineRule="auto"/>
              <w:jc w:val="left"/>
              <w:rPr>
                <w:rFonts w:ascii="宋体" w:hAnsi="宋体" w:cs="Arial"/>
                <w:b/>
                <w:kern w:val="0"/>
                <w:sz w:val="24"/>
                <w:szCs w:val="24"/>
              </w:rPr>
            </w:pPr>
            <w:r>
              <w:rPr>
                <w:rFonts w:hint="eastAsia" w:ascii="宋体" w:hAnsi="宋体" w:cs="Arial"/>
                <w:b/>
                <w:kern w:val="0"/>
                <w:sz w:val="24"/>
                <w:szCs w:val="24"/>
              </w:rPr>
              <w:t>地    址：</w:t>
            </w:r>
          </w:p>
        </w:tc>
        <w:tc>
          <w:tcPr>
            <w:tcW w:w="1646" w:type="pct"/>
          </w:tcPr>
          <w:p w14:paraId="4BB774CA">
            <w:pPr>
              <w:widowControl/>
              <w:spacing w:line="276" w:lineRule="auto"/>
              <w:jc w:val="left"/>
              <w:rPr>
                <w:rFonts w:ascii="宋体" w:hAnsi="宋体" w:cs="Arial"/>
                <w:kern w:val="0"/>
                <w:sz w:val="24"/>
                <w:szCs w:val="24"/>
              </w:rPr>
            </w:pPr>
          </w:p>
        </w:tc>
        <w:tc>
          <w:tcPr>
            <w:tcW w:w="852" w:type="pct"/>
          </w:tcPr>
          <w:p w14:paraId="02D42052">
            <w:pPr>
              <w:widowControl/>
              <w:spacing w:line="276" w:lineRule="auto"/>
              <w:jc w:val="left"/>
              <w:rPr>
                <w:rFonts w:ascii="宋体" w:hAnsi="宋体" w:cs="Arial"/>
                <w:b/>
                <w:kern w:val="0"/>
                <w:sz w:val="24"/>
                <w:szCs w:val="24"/>
              </w:rPr>
            </w:pPr>
            <w:r>
              <w:rPr>
                <w:rFonts w:hint="eastAsia" w:ascii="宋体" w:hAnsi="宋体" w:cs="Arial"/>
                <w:b/>
                <w:kern w:val="0"/>
                <w:sz w:val="24"/>
                <w:szCs w:val="24"/>
              </w:rPr>
              <w:t>地    址：</w:t>
            </w:r>
          </w:p>
        </w:tc>
        <w:tc>
          <w:tcPr>
            <w:tcW w:w="1735" w:type="pct"/>
          </w:tcPr>
          <w:p w14:paraId="50935DA9">
            <w:pPr>
              <w:widowControl/>
              <w:spacing w:line="276" w:lineRule="auto"/>
              <w:jc w:val="left"/>
              <w:rPr>
                <w:rFonts w:ascii="宋体" w:hAnsi="宋体" w:cs="Arial"/>
                <w:kern w:val="0"/>
                <w:sz w:val="24"/>
                <w:szCs w:val="24"/>
              </w:rPr>
            </w:pPr>
          </w:p>
        </w:tc>
      </w:tr>
      <w:tr w14:paraId="6332C931">
        <w:tblPrEx>
          <w:tblCellMar>
            <w:top w:w="0" w:type="dxa"/>
            <w:left w:w="108" w:type="dxa"/>
            <w:bottom w:w="0" w:type="dxa"/>
            <w:right w:w="108" w:type="dxa"/>
          </w:tblCellMar>
        </w:tblPrEx>
        <w:trPr>
          <w:trHeight w:val="567" w:hRule="atLeast"/>
          <w:jc w:val="center"/>
        </w:trPr>
        <w:tc>
          <w:tcPr>
            <w:tcW w:w="765" w:type="pct"/>
          </w:tcPr>
          <w:p w14:paraId="0A6670C5">
            <w:pPr>
              <w:widowControl/>
              <w:spacing w:line="276" w:lineRule="auto"/>
              <w:jc w:val="left"/>
              <w:rPr>
                <w:rFonts w:ascii="宋体" w:hAnsi="宋体" w:cs="Arial"/>
                <w:b/>
                <w:kern w:val="0"/>
                <w:sz w:val="24"/>
                <w:szCs w:val="24"/>
              </w:rPr>
            </w:pPr>
            <w:r>
              <w:rPr>
                <w:rFonts w:hint="eastAsia" w:ascii="宋体" w:hAnsi="宋体" w:cs="Arial"/>
                <w:b/>
                <w:kern w:val="0"/>
                <w:sz w:val="24"/>
                <w:szCs w:val="24"/>
              </w:rPr>
              <w:t>电    话：</w:t>
            </w:r>
          </w:p>
        </w:tc>
        <w:tc>
          <w:tcPr>
            <w:tcW w:w="1646" w:type="pct"/>
          </w:tcPr>
          <w:p w14:paraId="74AC8DDA">
            <w:pPr>
              <w:widowControl/>
              <w:spacing w:line="276" w:lineRule="auto"/>
              <w:jc w:val="left"/>
              <w:rPr>
                <w:rFonts w:ascii="宋体" w:hAnsi="宋体" w:cs="Arial"/>
                <w:kern w:val="0"/>
                <w:sz w:val="24"/>
                <w:szCs w:val="24"/>
              </w:rPr>
            </w:pPr>
          </w:p>
        </w:tc>
        <w:tc>
          <w:tcPr>
            <w:tcW w:w="852" w:type="pct"/>
          </w:tcPr>
          <w:p w14:paraId="5D132860">
            <w:pPr>
              <w:widowControl/>
              <w:spacing w:line="276" w:lineRule="auto"/>
              <w:jc w:val="left"/>
              <w:rPr>
                <w:rFonts w:ascii="宋体" w:hAnsi="宋体" w:cs="Arial"/>
                <w:b/>
                <w:kern w:val="0"/>
                <w:sz w:val="24"/>
                <w:szCs w:val="24"/>
              </w:rPr>
            </w:pPr>
            <w:r>
              <w:rPr>
                <w:rFonts w:hint="eastAsia" w:ascii="宋体" w:hAnsi="宋体" w:cs="Arial"/>
                <w:b/>
                <w:kern w:val="0"/>
                <w:sz w:val="24"/>
                <w:szCs w:val="24"/>
              </w:rPr>
              <w:t>电    话：</w:t>
            </w:r>
          </w:p>
        </w:tc>
        <w:tc>
          <w:tcPr>
            <w:tcW w:w="1735" w:type="pct"/>
          </w:tcPr>
          <w:p w14:paraId="1BFCA098">
            <w:pPr>
              <w:widowControl/>
              <w:spacing w:line="276" w:lineRule="auto"/>
              <w:jc w:val="left"/>
              <w:rPr>
                <w:rFonts w:ascii="宋体" w:hAnsi="宋体" w:cs="Arial"/>
                <w:kern w:val="0"/>
                <w:sz w:val="24"/>
                <w:szCs w:val="24"/>
              </w:rPr>
            </w:pPr>
          </w:p>
        </w:tc>
      </w:tr>
      <w:tr w14:paraId="662F9733">
        <w:tblPrEx>
          <w:tblCellMar>
            <w:top w:w="0" w:type="dxa"/>
            <w:left w:w="108" w:type="dxa"/>
            <w:bottom w:w="0" w:type="dxa"/>
            <w:right w:w="108" w:type="dxa"/>
          </w:tblCellMar>
        </w:tblPrEx>
        <w:trPr>
          <w:trHeight w:val="567" w:hRule="atLeast"/>
          <w:jc w:val="center"/>
        </w:trPr>
        <w:tc>
          <w:tcPr>
            <w:tcW w:w="765" w:type="pct"/>
          </w:tcPr>
          <w:p w14:paraId="44E3B3B5">
            <w:pPr>
              <w:widowControl/>
              <w:spacing w:line="276" w:lineRule="auto"/>
              <w:jc w:val="left"/>
              <w:rPr>
                <w:rFonts w:ascii="宋体" w:hAnsi="宋体" w:cs="Arial"/>
                <w:b/>
                <w:kern w:val="0"/>
                <w:sz w:val="24"/>
                <w:szCs w:val="24"/>
              </w:rPr>
            </w:pPr>
            <w:r>
              <w:rPr>
                <w:rFonts w:hint="eastAsia" w:ascii="宋体" w:hAnsi="宋体" w:cs="Arial"/>
                <w:b/>
                <w:kern w:val="0"/>
                <w:sz w:val="24"/>
                <w:szCs w:val="24"/>
              </w:rPr>
              <w:t>传    真：</w:t>
            </w:r>
          </w:p>
        </w:tc>
        <w:tc>
          <w:tcPr>
            <w:tcW w:w="1646" w:type="pct"/>
          </w:tcPr>
          <w:p w14:paraId="51E6BAFB">
            <w:pPr>
              <w:widowControl/>
              <w:spacing w:line="276" w:lineRule="auto"/>
              <w:jc w:val="left"/>
              <w:rPr>
                <w:rFonts w:ascii="宋体" w:hAnsi="宋体" w:cs="Arial"/>
                <w:kern w:val="0"/>
                <w:sz w:val="24"/>
                <w:szCs w:val="24"/>
              </w:rPr>
            </w:pPr>
          </w:p>
        </w:tc>
        <w:tc>
          <w:tcPr>
            <w:tcW w:w="852" w:type="pct"/>
          </w:tcPr>
          <w:p w14:paraId="420869AE">
            <w:pPr>
              <w:widowControl/>
              <w:spacing w:line="276" w:lineRule="auto"/>
              <w:jc w:val="left"/>
              <w:rPr>
                <w:rFonts w:ascii="宋体" w:hAnsi="宋体" w:cs="Arial"/>
                <w:b/>
                <w:kern w:val="0"/>
                <w:sz w:val="24"/>
                <w:szCs w:val="24"/>
              </w:rPr>
            </w:pPr>
            <w:r>
              <w:rPr>
                <w:rFonts w:hint="eastAsia" w:ascii="宋体" w:hAnsi="宋体" w:cs="Arial"/>
                <w:b/>
                <w:kern w:val="0"/>
                <w:sz w:val="24"/>
                <w:szCs w:val="24"/>
              </w:rPr>
              <w:t>传    真：</w:t>
            </w:r>
          </w:p>
        </w:tc>
        <w:tc>
          <w:tcPr>
            <w:tcW w:w="1735" w:type="pct"/>
          </w:tcPr>
          <w:p w14:paraId="3996CBEA">
            <w:pPr>
              <w:widowControl/>
              <w:spacing w:line="276" w:lineRule="auto"/>
              <w:jc w:val="left"/>
              <w:rPr>
                <w:rFonts w:ascii="宋体" w:hAnsi="宋体" w:cs="Arial"/>
                <w:kern w:val="0"/>
                <w:sz w:val="24"/>
                <w:szCs w:val="24"/>
              </w:rPr>
            </w:pPr>
          </w:p>
        </w:tc>
      </w:tr>
      <w:tr w14:paraId="5FEF100F">
        <w:tblPrEx>
          <w:tblCellMar>
            <w:top w:w="0" w:type="dxa"/>
            <w:left w:w="108" w:type="dxa"/>
            <w:bottom w:w="0" w:type="dxa"/>
            <w:right w:w="108" w:type="dxa"/>
          </w:tblCellMar>
        </w:tblPrEx>
        <w:trPr>
          <w:trHeight w:val="567" w:hRule="atLeast"/>
          <w:jc w:val="center"/>
        </w:trPr>
        <w:tc>
          <w:tcPr>
            <w:tcW w:w="765" w:type="pct"/>
          </w:tcPr>
          <w:p w14:paraId="20E2C5BD">
            <w:pPr>
              <w:widowControl/>
              <w:spacing w:line="276" w:lineRule="auto"/>
              <w:jc w:val="left"/>
              <w:rPr>
                <w:rFonts w:ascii="宋体" w:hAnsi="宋体" w:cs="Arial"/>
                <w:b/>
                <w:kern w:val="0"/>
                <w:sz w:val="24"/>
                <w:szCs w:val="24"/>
              </w:rPr>
            </w:pPr>
            <w:r>
              <w:rPr>
                <w:rFonts w:hint="eastAsia" w:ascii="宋体" w:hAnsi="宋体" w:cs="Arial"/>
                <w:b/>
                <w:kern w:val="0"/>
                <w:sz w:val="24"/>
                <w:szCs w:val="24"/>
              </w:rPr>
              <w:t>签约日期：</w:t>
            </w:r>
          </w:p>
        </w:tc>
        <w:tc>
          <w:tcPr>
            <w:tcW w:w="1646" w:type="pct"/>
          </w:tcPr>
          <w:p w14:paraId="6B967BFE">
            <w:pPr>
              <w:widowControl/>
              <w:spacing w:line="276" w:lineRule="auto"/>
              <w:ind w:firstLine="240" w:firstLineChars="100"/>
              <w:jc w:val="left"/>
              <w:rPr>
                <w:rFonts w:ascii="宋体" w:hAnsi="宋体" w:cs="Arial"/>
                <w:kern w:val="0"/>
                <w:sz w:val="24"/>
                <w:szCs w:val="24"/>
              </w:rPr>
            </w:pPr>
            <w:r>
              <w:rPr>
                <w:rFonts w:hint="eastAsia" w:ascii="宋体" w:hAnsi="宋体" w:cs="Arial"/>
                <w:kern w:val="0"/>
                <w:sz w:val="24"/>
                <w:szCs w:val="24"/>
              </w:rPr>
              <w:t xml:space="preserve">  年   月   日</w:t>
            </w:r>
          </w:p>
        </w:tc>
        <w:tc>
          <w:tcPr>
            <w:tcW w:w="852" w:type="pct"/>
          </w:tcPr>
          <w:p w14:paraId="0C7C5714">
            <w:pPr>
              <w:widowControl/>
              <w:spacing w:line="276" w:lineRule="auto"/>
              <w:jc w:val="left"/>
              <w:rPr>
                <w:rFonts w:ascii="宋体" w:hAnsi="宋体" w:cs="Arial"/>
                <w:b/>
                <w:kern w:val="0"/>
                <w:sz w:val="24"/>
                <w:szCs w:val="24"/>
              </w:rPr>
            </w:pPr>
            <w:r>
              <w:rPr>
                <w:rFonts w:hint="eastAsia" w:ascii="宋体" w:hAnsi="宋体" w:cs="Arial"/>
                <w:b/>
                <w:kern w:val="0"/>
                <w:sz w:val="24"/>
                <w:szCs w:val="24"/>
              </w:rPr>
              <w:t>签约日期：</w:t>
            </w:r>
          </w:p>
        </w:tc>
        <w:tc>
          <w:tcPr>
            <w:tcW w:w="1735" w:type="pct"/>
          </w:tcPr>
          <w:p w14:paraId="7FE0CAA4">
            <w:pPr>
              <w:widowControl/>
              <w:spacing w:line="276" w:lineRule="auto"/>
              <w:ind w:firstLine="240" w:firstLineChars="100"/>
              <w:jc w:val="left"/>
              <w:rPr>
                <w:rFonts w:ascii="宋体" w:hAnsi="宋体" w:cs="Arial"/>
                <w:kern w:val="0"/>
                <w:sz w:val="24"/>
                <w:szCs w:val="24"/>
              </w:rPr>
            </w:pPr>
            <w:r>
              <w:rPr>
                <w:rFonts w:hint="eastAsia" w:ascii="宋体" w:hAnsi="宋体" w:cs="Arial"/>
                <w:kern w:val="0"/>
                <w:sz w:val="24"/>
                <w:szCs w:val="24"/>
              </w:rPr>
              <w:t xml:space="preserve">  年   月   日</w:t>
            </w:r>
          </w:p>
        </w:tc>
      </w:tr>
    </w:tbl>
    <w:p w14:paraId="5E3C8A57">
      <w:pPr>
        <w:pStyle w:val="3"/>
        <w:spacing w:line="240" w:lineRule="auto"/>
        <w:rPr>
          <w:rFonts w:asciiTheme="minorEastAsia" w:hAnsiTheme="minorEastAsia" w:eastAsiaTheme="minorEastAsia"/>
          <w:b w:val="0"/>
        </w:rPr>
      </w:pPr>
      <w:bookmarkStart w:id="5" w:name="_GoBack"/>
      <w:bookmarkEnd w:id="5"/>
      <w:r>
        <w:rPr>
          <w:rFonts w:hint="eastAsia" w:asciiTheme="minorEastAsia" w:hAnsiTheme="minorEastAsia" w:eastAsiaTheme="minorEastAsia"/>
          <w:b w:val="0"/>
        </w:rPr>
        <w:t>报价文件格式</w:t>
      </w:r>
    </w:p>
    <w:p w14:paraId="0AAD750D">
      <w:pPr>
        <w:spacing w:before="156" w:beforeLines="50" w:after="156" w:afterLines="50"/>
        <w:ind w:firstLine="840" w:firstLineChars="300"/>
        <w:jc w:val="center"/>
        <w:rPr>
          <w:rFonts w:asciiTheme="minorEastAsia" w:hAnsiTheme="minorEastAsia" w:eastAsiaTheme="minorEastAsia"/>
          <w:bCs/>
          <w:sz w:val="28"/>
          <w:szCs w:val="28"/>
        </w:rPr>
      </w:pPr>
      <w:r>
        <w:rPr>
          <w:rFonts w:hint="eastAsia" w:cs="Arial" w:asciiTheme="minorEastAsia" w:hAnsiTheme="minorEastAsia" w:eastAsiaTheme="minorEastAsia"/>
          <w:bCs/>
          <w:sz w:val="28"/>
          <w:szCs w:val="28"/>
          <w:lang w:val="zh-CN"/>
        </w:rPr>
        <w:t>格式1</w:t>
      </w:r>
      <w:r>
        <w:rPr>
          <w:rFonts w:hint="eastAsia" w:asciiTheme="minorEastAsia" w:hAnsiTheme="minorEastAsia" w:eastAsiaTheme="minorEastAsia"/>
          <w:bCs/>
          <w:sz w:val="28"/>
          <w:szCs w:val="28"/>
        </w:rPr>
        <w:t xml:space="preserve"> 报价函</w:t>
      </w:r>
    </w:p>
    <w:p w14:paraId="1A68630A">
      <w:pPr>
        <w:rPr>
          <w:rFonts w:asciiTheme="minorEastAsia" w:hAnsiTheme="minorEastAsia" w:eastAsiaTheme="minorEastAsia"/>
          <w:sz w:val="24"/>
        </w:rPr>
      </w:pPr>
      <w:r>
        <w:rPr>
          <w:rFonts w:hint="eastAsia" w:asciiTheme="minorEastAsia" w:hAnsiTheme="minorEastAsia" w:eastAsiaTheme="minorEastAsia"/>
          <w:sz w:val="24"/>
        </w:rPr>
        <w:t>广州大学：</w:t>
      </w:r>
    </w:p>
    <w:p w14:paraId="3F1BB482">
      <w:pPr>
        <w:ind w:firstLine="420"/>
        <w:rPr>
          <w:rFonts w:asciiTheme="minorEastAsia" w:hAnsiTheme="minorEastAsia" w:eastAsiaTheme="minorEastAsia"/>
          <w:sz w:val="24"/>
        </w:rPr>
      </w:pPr>
      <w:r>
        <w:rPr>
          <w:rFonts w:hint="eastAsia" w:asciiTheme="minorEastAsia" w:hAnsiTheme="minorEastAsia" w:eastAsiaTheme="minorEastAsia"/>
          <w:sz w:val="24"/>
        </w:rPr>
        <w:t>我方审阅了贵方的采购文件的全部内容，现提交我方的报价文件。</w:t>
      </w:r>
    </w:p>
    <w:p w14:paraId="379E8113">
      <w:pPr>
        <w:ind w:firstLine="420"/>
        <w:rPr>
          <w:rFonts w:asciiTheme="minorEastAsia" w:hAnsiTheme="minorEastAsia" w:eastAsiaTheme="minorEastAsia"/>
          <w:sz w:val="24"/>
        </w:rPr>
      </w:pPr>
      <w:r>
        <w:rPr>
          <w:rFonts w:hint="eastAsia" w:asciiTheme="minorEastAsia" w:hAnsiTheme="minorEastAsia" w:eastAsiaTheme="minorEastAsia"/>
          <w:sz w:val="24"/>
        </w:rPr>
        <w:t>我方（报价人全称）授权（授权代表姓名）（职务、职称）为授权代表，参加贵方组织的采购项目采购的有关活动，并对进行报价。</w:t>
      </w:r>
    </w:p>
    <w:p w14:paraId="60851D82">
      <w:pPr>
        <w:rPr>
          <w:rFonts w:asciiTheme="minorEastAsia" w:hAnsiTheme="minorEastAsia" w:eastAsiaTheme="minorEastAsia"/>
          <w:sz w:val="24"/>
        </w:rPr>
      </w:pPr>
      <w:r>
        <w:rPr>
          <w:rFonts w:hint="eastAsia" w:asciiTheme="minorEastAsia" w:hAnsiTheme="minorEastAsia" w:eastAsiaTheme="minorEastAsia"/>
          <w:sz w:val="24"/>
        </w:rPr>
        <w:t>签字代表在此声明并同意</w:t>
      </w:r>
    </w:p>
    <w:p w14:paraId="10C51632">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1.我方愿意遵守采购文件中的各项规定，提供符合“用户需求”所要求的货物，报价总价为元人民币。</w:t>
      </w:r>
    </w:p>
    <w:p w14:paraId="2C19E0AC">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2.我方同意本报价自报价截止日起90天内有效。如果我方的报价被接受，则直至合同终止时止，本报价始终有效。</w:t>
      </w:r>
    </w:p>
    <w:p w14:paraId="1F7057B3">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14:paraId="06CDDF88">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rPr>
        <w:tab/>
      </w:r>
      <w:r>
        <w:rPr>
          <w:rFonts w:hint="eastAsia" w:asciiTheme="minorEastAsia" w:hAnsiTheme="minorEastAsia" w:eastAsiaTheme="minorEastAsia"/>
          <w:sz w:val="24"/>
        </w:rPr>
        <w:t>我方声明报价文件及所提供的一切资料均真实无误及有效。由于我方提供资料不实而造成的责任和后果由我方承担。我方同意按照贵方提出的要求，提供与报价有关的任何其它数据或信息。</w:t>
      </w:r>
    </w:p>
    <w:p w14:paraId="595D8FCF">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5.我方理解，最低报价不能成为中标的唯一理由。</w:t>
      </w:r>
    </w:p>
    <w:p w14:paraId="361D64C8">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6.我方如果中标，保证履行报价文件中承诺的全部责任和义务，切实履行采购合同中的全部条款。</w:t>
      </w:r>
    </w:p>
    <w:p w14:paraId="48382D07">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542FAF91">
      <w:pPr>
        <w:ind w:left="706" w:leftChars="203" w:hanging="280" w:hangingChars="117"/>
        <w:rPr>
          <w:rFonts w:asciiTheme="minorEastAsia" w:hAnsiTheme="minorEastAsia" w:eastAsiaTheme="minorEastAsia"/>
          <w:sz w:val="24"/>
        </w:rPr>
      </w:pPr>
      <w:r>
        <w:rPr>
          <w:rFonts w:hint="eastAsia" w:asciiTheme="minorEastAsia" w:hAnsiTheme="minorEastAsia" w:eastAsiaTheme="minorEastAsia"/>
          <w:sz w:val="24"/>
        </w:rPr>
        <w:t xml:space="preserve">8.所有有关本次报价的函电请寄： </w:t>
      </w:r>
    </w:p>
    <w:p w14:paraId="42EC93A8">
      <w:pPr>
        <w:tabs>
          <w:tab w:val="left" w:pos="905"/>
        </w:tabs>
        <w:autoSpaceDE w:val="0"/>
        <w:autoSpaceDN w:val="0"/>
        <w:adjustRightInd w:val="0"/>
        <w:ind w:firstLine="424" w:firstLineChars="177"/>
        <w:rPr>
          <w:rFonts w:cs="宋体" w:asciiTheme="minorEastAsia" w:hAnsiTheme="minorEastAsia" w:eastAsiaTheme="minorEastAsia"/>
          <w:sz w:val="24"/>
        </w:rPr>
      </w:pPr>
      <w:r>
        <w:rPr>
          <w:rFonts w:hint="eastAsia" w:cs="宋体" w:asciiTheme="minorEastAsia" w:hAnsiTheme="minorEastAsia" w:eastAsiaTheme="minorEastAsia"/>
          <w:sz w:val="24"/>
        </w:rPr>
        <w:t>9．报价一览表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82"/>
        <w:gridCol w:w="2109"/>
        <w:gridCol w:w="1135"/>
        <w:gridCol w:w="756"/>
        <w:gridCol w:w="756"/>
        <w:gridCol w:w="1058"/>
        <w:gridCol w:w="1182"/>
      </w:tblGrid>
      <w:tr w14:paraId="40E7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30B9F957">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序号</w:t>
            </w:r>
          </w:p>
        </w:tc>
        <w:tc>
          <w:tcPr>
            <w:tcW w:w="982" w:type="dxa"/>
            <w:tcBorders>
              <w:top w:val="single" w:color="auto" w:sz="4" w:space="0"/>
              <w:left w:val="single" w:color="auto" w:sz="4" w:space="0"/>
              <w:bottom w:val="single" w:color="auto" w:sz="4" w:space="0"/>
              <w:right w:val="single" w:color="auto" w:sz="4" w:space="0"/>
            </w:tcBorders>
            <w:vAlign w:val="center"/>
          </w:tcPr>
          <w:p w14:paraId="239EE60F">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名称</w:t>
            </w:r>
          </w:p>
        </w:tc>
        <w:tc>
          <w:tcPr>
            <w:tcW w:w="2109" w:type="dxa"/>
            <w:tcBorders>
              <w:top w:val="single" w:color="auto" w:sz="4" w:space="0"/>
              <w:left w:val="single" w:color="auto" w:sz="4" w:space="0"/>
              <w:bottom w:val="single" w:color="auto" w:sz="4" w:space="0"/>
              <w:right w:val="single" w:color="auto" w:sz="4" w:space="0"/>
            </w:tcBorders>
            <w:vAlign w:val="center"/>
          </w:tcPr>
          <w:p w14:paraId="6190F997">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厂家名称</w:t>
            </w:r>
          </w:p>
        </w:tc>
        <w:tc>
          <w:tcPr>
            <w:tcW w:w="1135" w:type="dxa"/>
            <w:tcBorders>
              <w:top w:val="single" w:color="auto" w:sz="4" w:space="0"/>
              <w:left w:val="single" w:color="auto" w:sz="4" w:space="0"/>
              <w:bottom w:val="single" w:color="auto" w:sz="4" w:space="0"/>
              <w:right w:val="single" w:color="auto" w:sz="4" w:space="0"/>
            </w:tcBorders>
            <w:vAlign w:val="center"/>
          </w:tcPr>
          <w:p w14:paraId="57E768FB">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数量</w:t>
            </w:r>
          </w:p>
        </w:tc>
        <w:tc>
          <w:tcPr>
            <w:tcW w:w="756" w:type="dxa"/>
            <w:tcBorders>
              <w:top w:val="single" w:color="auto" w:sz="4" w:space="0"/>
              <w:left w:val="single" w:color="auto" w:sz="4" w:space="0"/>
              <w:bottom w:val="single" w:color="auto" w:sz="4" w:space="0"/>
              <w:right w:val="single" w:color="auto" w:sz="4" w:space="0"/>
            </w:tcBorders>
            <w:vAlign w:val="center"/>
          </w:tcPr>
          <w:p w14:paraId="0633DE11">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计量</w:t>
            </w:r>
          </w:p>
          <w:p w14:paraId="739299AE">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单位</w:t>
            </w:r>
          </w:p>
        </w:tc>
        <w:tc>
          <w:tcPr>
            <w:tcW w:w="756" w:type="dxa"/>
            <w:tcBorders>
              <w:top w:val="single" w:color="auto" w:sz="4" w:space="0"/>
              <w:left w:val="single" w:color="auto" w:sz="4" w:space="0"/>
              <w:bottom w:val="single" w:color="auto" w:sz="4" w:space="0"/>
              <w:right w:val="single" w:color="auto" w:sz="4" w:space="0"/>
            </w:tcBorders>
          </w:tcPr>
          <w:p w14:paraId="716498B9">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配置清单</w:t>
            </w:r>
          </w:p>
        </w:tc>
        <w:tc>
          <w:tcPr>
            <w:tcW w:w="1058" w:type="dxa"/>
            <w:tcBorders>
              <w:top w:val="single" w:color="auto" w:sz="4" w:space="0"/>
              <w:left w:val="single" w:color="auto" w:sz="4" w:space="0"/>
              <w:bottom w:val="single" w:color="auto" w:sz="4" w:space="0"/>
              <w:right w:val="single" w:color="auto" w:sz="4" w:space="0"/>
            </w:tcBorders>
            <w:vAlign w:val="center"/>
          </w:tcPr>
          <w:p w14:paraId="6169AB92">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单价</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元</w:t>
            </w:r>
            <w:r>
              <w:rPr>
                <w:rFonts w:cs="Arial" w:asciiTheme="minorEastAsia" w:hAnsiTheme="minorEastAsia" w:eastAsiaTheme="minorEastAsia"/>
                <w:kern w:val="0"/>
                <w:sz w:val="24"/>
              </w:rPr>
              <w:t>)</w:t>
            </w:r>
          </w:p>
        </w:tc>
        <w:tc>
          <w:tcPr>
            <w:tcW w:w="1182" w:type="dxa"/>
            <w:tcBorders>
              <w:top w:val="single" w:color="auto" w:sz="4" w:space="0"/>
              <w:left w:val="single" w:color="auto" w:sz="4" w:space="0"/>
              <w:bottom w:val="single" w:color="auto" w:sz="4" w:space="0"/>
              <w:right w:val="single" w:color="auto" w:sz="4" w:space="0"/>
            </w:tcBorders>
            <w:vAlign w:val="center"/>
          </w:tcPr>
          <w:p w14:paraId="07A01229">
            <w:pPr>
              <w:widowControl/>
              <w:jc w:val="center"/>
              <w:rPr>
                <w:rFonts w:cs="宋体" w:asciiTheme="minorEastAsia" w:hAnsiTheme="minorEastAsia" w:eastAsiaTheme="minorEastAsia"/>
                <w:kern w:val="0"/>
                <w:sz w:val="24"/>
              </w:rPr>
            </w:pPr>
            <w:r>
              <w:rPr>
                <w:rFonts w:hint="eastAsia" w:cs="Arial" w:asciiTheme="minorEastAsia" w:hAnsiTheme="minorEastAsia" w:eastAsiaTheme="minorEastAsia"/>
                <w:kern w:val="0"/>
                <w:sz w:val="24"/>
              </w:rPr>
              <w:t>总价</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元</w:t>
            </w:r>
            <w:r>
              <w:rPr>
                <w:rFonts w:cs="Arial" w:asciiTheme="minorEastAsia" w:hAnsiTheme="minorEastAsia" w:eastAsiaTheme="minorEastAsia"/>
                <w:kern w:val="0"/>
                <w:sz w:val="24"/>
              </w:rPr>
              <w:t>)</w:t>
            </w:r>
          </w:p>
        </w:tc>
      </w:tr>
      <w:tr w14:paraId="308B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2A096582">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1</w:t>
            </w:r>
          </w:p>
        </w:tc>
        <w:tc>
          <w:tcPr>
            <w:tcW w:w="982" w:type="dxa"/>
            <w:tcBorders>
              <w:top w:val="single" w:color="auto" w:sz="4" w:space="0"/>
              <w:left w:val="single" w:color="auto" w:sz="4" w:space="0"/>
              <w:bottom w:val="single" w:color="auto" w:sz="4" w:space="0"/>
              <w:right w:val="single" w:color="auto" w:sz="4" w:space="0"/>
            </w:tcBorders>
            <w:vAlign w:val="center"/>
          </w:tcPr>
          <w:p w14:paraId="7D995A1F">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2109" w:type="dxa"/>
            <w:tcBorders>
              <w:top w:val="single" w:color="auto" w:sz="4" w:space="0"/>
              <w:left w:val="single" w:color="auto" w:sz="4" w:space="0"/>
              <w:bottom w:val="single" w:color="auto" w:sz="4" w:space="0"/>
              <w:right w:val="single" w:color="auto" w:sz="4" w:space="0"/>
            </w:tcBorders>
            <w:vAlign w:val="center"/>
          </w:tcPr>
          <w:p w14:paraId="18961546">
            <w:pPr>
              <w:widowControl/>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1135" w:type="dxa"/>
            <w:tcBorders>
              <w:top w:val="single" w:color="auto" w:sz="4" w:space="0"/>
              <w:left w:val="single" w:color="auto" w:sz="4" w:space="0"/>
              <w:bottom w:val="single" w:color="auto" w:sz="4" w:space="0"/>
              <w:right w:val="single" w:color="auto" w:sz="4" w:space="0"/>
            </w:tcBorders>
            <w:vAlign w:val="center"/>
          </w:tcPr>
          <w:p w14:paraId="722E63F5">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756" w:type="dxa"/>
            <w:tcBorders>
              <w:top w:val="single" w:color="auto" w:sz="4" w:space="0"/>
              <w:left w:val="single" w:color="auto" w:sz="4" w:space="0"/>
              <w:bottom w:val="single" w:color="auto" w:sz="4" w:space="0"/>
              <w:right w:val="single" w:color="auto" w:sz="4" w:space="0"/>
            </w:tcBorders>
            <w:vAlign w:val="center"/>
          </w:tcPr>
          <w:p w14:paraId="04573558">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756" w:type="dxa"/>
            <w:tcBorders>
              <w:top w:val="single" w:color="auto" w:sz="4" w:space="0"/>
              <w:left w:val="single" w:color="auto" w:sz="4" w:space="0"/>
              <w:bottom w:val="single" w:color="auto" w:sz="4" w:space="0"/>
              <w:right w:val="single" w:color="auto" w:sz="4" w:space="0"/>
            </w:tcBorders>
          </w:tcPr>
          <w:p w14:paraId="2DE650C7">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1058" w:type="dxa"/>
            <w:tcBorders>
              <w:top w:val="single" w:color="auto" w:sz="4" w:space="0"/>
              <w:left w:val="single" w:color="auto" w:sz="4" w:space="0"/>
              <w:bottom w:val="single" w:color="auto" w:sz="4" w:space="0"/>
              <w:right w:val="single" w:color="auto" w:sz="4" w:space="0"/>
            </w:tcBorders>
            <w:vAlign w:val="center"/>
          </w:tcPr>
          <w:p w14:paraId="2F41FA3C">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c>
          <w:tcPr>
            <w:tcW w:w="1182" w:type="dxa"/>
            <w:tcBorders>
              <w:top w:val="single" w:color="auto" w:sz="4" w:space="0"/>
              <w:left w:val="single" w:color="auto" w:sz="4" w:space="0"/>
              <w:bottom w:val="single" w:color="auto" w:sz="4" w:space="0"/>
              <w:right w:val="single" w:color="auto" w:sz="4" w:space="0"/>
            </w:tcBorders>
            <w:vAlign w:val="center"/>
          </w:tcPr>
          <w:p w14:paraId="328EFAF8">
            <w:pPr>
              <w:widowControl/>
              <w:ind w:left="-32"/>
              <w:jc w:val="center"/>
              <w:rPr>
                <w:rFonts w:cs="宋体" w:asciiTheme="minorEastAsia" w:hAnsiTheme="minorEastAsia" w:eastAsiaTheme="minorEastAsia"/>
                <w:kern w:val="0"/>
                <w:sz w:val="24"/>
              </w:rPr>
            </w:pPr>
            <w:r>
              <w:rPr>
                <w:rFonts w:cs="Arial" w:asciiTheme="minorEastAsia" w:hAnsiTheme="minorEastAsia" w:eastAsiaTheme="minorEastAsia"/>
                <w:bCs/>
                <w:kern w:val="0"/>
                <w:sz w:val="24"/>
              </w:rPr>
              <w:t> </w:t>
            </w:r>
          </w:p>
        </w:tc>
      </w:tr>
    </w:tbl>
    <w:p w14:paraId="4B6CAE32">
      <w:pPr>
        <w:tabs>
          <w:tab w:val="left" w:pos="406"/>
        </w:tabs>
        <w:adjustRightInd w:val="0"/>
        <w:ind w:left="-126" w:leftChars="-60" w:firstLine="120" w:firstLineChars="50"/>
        <w:rPr>
          <w:rFonts w:asciiTheme="minorEastAsia" w:hAnsiTheme="minorEastAsia" w:eastAsiaTheme="minorEastAsia"/>
          <w:sz w:val="24"/>
        </w:rPr>
      </w:pPr>
      <w:r>
        <w:rPr>
          <w:rFonts w:hint="eastAsia" w:asciiTheme="minorEastAsia" w:hAnsiTheme="minorEastAsia" w:eastAsiaTheme="minorEastAsia"/>
          <w:sz w:val="24"/>
        </w:rPr>
        <w:t>地  址：        邮政编码：</w:t>
      </w:r>
    </w:p>
    <w:p w14:paraId="64C43D9B">
      <w:pPr>
        <w:adjustRightInd w:val="0"/>
        <w:rPr>
          <w:rFonts w:asciiTheme="minorEastAsia" w:hAnsiTheme="minorEastAsia" w:eastAsiaTheme="minorEastAsia"/>
          <w:sz w:val="24"/>
        </w:rPr>
      </w:pPr>
      <w:r>
        <w:rPr>
          <w:rFonts w:hint="eastAsia" w:asciiTheme="minorEastAsia" w:hAnsiTheme="minorEastAsia" w:eastAsiaTheme="minorEastAsia"/>
          <w:sz w:val="24"/>
        </w:rPr>
        <w:t>电  话：        传    真：</w:t>
      </w:r>
    </w:p>
    <w:p w14:paraId="5587E179">
      <w:pPr>
        <w:adjustRightInd w:val="0"/>
        <w:rPr>
          <w:rFonts w:asciiTheme="minorEastAsia" w:hAnsiTheme="minorEastAsia" w:eastAsiaTheme="minorEastAsia"/>
          <w:sz w:val="24"/>
        </w:rPr>
      </w:pPr>
      <w:r>
        <w:rPr>
          <w:rFonts w:hint="eastAsia" w:asciiTheme="minorEastAsia" w:hAnsiTheme="minorEastAsia" w:eastAsiaTheme="minorEastAsia"/>
          <w:sz w:val="24"/>
        </w:rPr>
        <w:t>报价人（法人公章）：                     授权代表姓名（签字）：</w:t>
      </w:r>
    </w:p>
    <w:p w14:paraId="319F6684">
      <w:pPr>
        <w:adjustRightInd w:val="0"/>
        <w:rPr>
          <w:rFonts w:cs="宋体" w:asciiTheme="minorEastAsia" w:hAnsiTheme="minorEastAsia" w:eastAsiaTheme="minorEastAsia"/>
          <w:sz w:val="24"/>
        </w:rPr>
      </w:pPr>
      <w:r>
        <w:rPr>
          <w:rFonts w:hint="eastAsia" w:asciiTheme="minorEastAsia" w:hAnsiTheme="minorEastAsia" w:eastAsiaTheme="minorEastAsia"/>
          <w:sz w:val="24"/>
        </w:rPr>
        <w:t>日    期：</w:t>
      </w:r>
    </w:p>
    <w:p w14:paraId="14873ACC">
      <w:pPr>
        <w:keepNext/>
        <w:keepLines/>
        <w:autoSpaceDE w:val="0"/>
        <w:autoSpaceDN w:val="0"/>
        <w:adjustRightInd w:val="0"/>
        <w:spacing w:before="260" w:after="260" w:line="360" w:lineRule="exact"/>
        <w:jc w:val="center"/>
        <w:outlineLvl w:val="1"/>
        <w:rPr>
          <w:rFonts w:cs="Arial" w:asciiTheme="minorEastAsia" w:hAnsiTheme="minorEastAsia" w:eastAsiaTheme="minorEastAsia"/>
          <w:bCs/>
          <w:sz w:val="28"/>
          <w:szCs w:val="28"/>
          <w:lang w:val="zh-CN"/>
        </w:rPr>
      </w:pPr>
      <w:r>
        <w:rPr>
          <w:rFonts w:cs="Arial" w:asciiTheme="minorEastAsia" w:hAnsiTheme="minorEastAsia" w:eastAsiaTheme="minorEastAsia"/>
          <w:bCs/>
          <w:sz w:val="28"/>
          <w:szCs w:val="28"/>
          <w:lang w:val="zh-CN"/>
        </w:rPr>
        <w:br w:type="page"/>
      </w:r>
      <w:r>
        <w:rPr>
          <w:rFonts w:hint="eastAsia" w:cs="Arial" w:asciiTheme="minorEastAsia" w:hAnsiTheme="minorEastAsia" w:eastAsiaTheme="minorEastAsia"/>
          <w:bCs/>
          <w:sz w:val="28"/>
          <w:szCs w:val="28"/>
          <w:lang w:val="zh-CN"/>
        </w:rPr>
        <w:t>格式2  技术规格响应表</w:t>
      </w:r>
    </w:p>
    <w:p w14:paraId="645A510C">
      <w:pPr>
        <w:rPr>
          <w:rFonts w:asciiTheme="minorEastAsia" w:hAnsiTheme="minorEastAsia" w:eastAsiaTheme="minorEastAsia"/>
          <w:lang w:val="zh-CN"/>
        </w:rPr>
      </w:pPr>
    </w:p>
    <w:tbl>
      <w:tblPr>
        <w:tblStyle w:val="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2415"/>
        <w:gridCol w:w="2415"/>
        <w:gridCol w:w="1890"/>
      </w:tblGrid>
      <w:tr w14:paraId="0ED9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38" w:type="dxa"/>
            <w:vAlign w:val="center"/>
          </w:tcPr>
          <w:p w14:paraId="02256B24">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1922" w:type="dxa"/>
            <w:vAlign w:val="center"/>
          </w:tcPr>
          <w:p w14:paraId="58480201">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技术指标条目</w:t>
            </w:r>
          </w:p>
        </w:tc>
        <w:tc>
          <w:tcPr>
            <w:tcW w:w="2415" w:type="dxa"/>
            <w:vAlign w:val="center"/>
          </w:tcPr>
          <w:p w14:paraId="1184A84D">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采购文件要求</w:t>
            </w:r>
          </w:p>
        </w:tc>
        <w:tc>
          <w:tcPr>
            <w:tcW w:w="2415" w:type="dxa"/>
            <w:vAlign w:val="center"/>
          </w:tcPr>
          <w:p w14:paraId="641B05F0">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报价文件响应</w:t>
            </w:r>
          </w:p>
        </w:tc>
        <w:tc>
          <w:tcPr>
            <w:tcW w:w="1890" w:type="dxa"/>
            <w:vAlign w:val="center"/>
          </w:tcPr>
          <w:p w14:paraId="7A679585">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说明</w:t>
            </w:r>
          </w:p>
        </w:tc>
      </w:tr>
      <w:tr w14:paraId="0CB4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38" w:type="dxa"/>
            <w:vAlign w:val="center"/>
          </w:tcPr>
          <w:p w14:paraId="562F5341">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922" w:type="dxa"/>
          </w:tcPr>
          <w:p w14:paraId="4AD38AEF">
            <w:pPr>
              <w:spacing w:line="360" w:lineRule="exact"/>
              <w:jc w:val="center"/>
              <w:rPr>
                <w:rFonts w:asciiTheme="minorEastAsia" w:hAnsiTheme="minorEastAsia" w:eastAsiaTheme="minorEastAsia"/>
                <w:sz w:val="28"/>
                <w:szCs w:val="28"/>
              </w:rPr>
            </w:pPr>
          </w:p>
        </w:tc>
        <w:tc>
          <w:tcPr>
            <w:tcW w:w="2415" w:type="dxa"/>
          </w:tcPr>
          <w:p w14:paraId="267F2542">
            <w:pPr>
              <w:spacing w:line="360" w:lineRule="exact"/>
              <w:rPr>
                <w:rFonts w:asciiTheme="minorEastAsia" w:hAnsiTheme="minorEastAsia" w:eastAsiaTheme="minorEastAsia"/>
                <w:sz w:val="28"/>
                <w:szCs w:val="28"/>
              </w:rPr>
            </w:pPr>
          </w:p>
        </w:tc>
        <w:tc>
          <w:tcPr>
            <w:tcW w:w="2415" w:type="dxa"/>
            <w:vAlign w:val="center"/>
          </w:tcPr>
          <w:p w14:paraId="12CC847C">
            <w:pPr>
              <w:spacing w:line="360" w:lineRule="exact"/>
              <w:jc w:val="center"/>
              <w:rPr>
                <w:rFonts w:asciiTheme="minorEastAsia" w:hAnsiTheme="minorEastAsia" w:eastAsiaTheme="minorEastAsia"/>
                <w:sz w:val="28"/>
                <w:szCs w:val="28"/>
              </w:rPr>
            </w:pPr>
          </w:p>
        </w:tc>
        <w:tc>
          <w:tcPr>
            <w:tcW w:w="1890" w:type="dxa"/>
            <w:vAlign w:val="center"/>
          </w:tcPr>
          <w:p w14:paraId="23CC7B9B">
            <w:pPr>
              <w:spacing w:line="360" w:lineRule="exact"/>
              <w:jc w:val="center"/>
              <w:rPr>
                <w:rFonts w:asciiTheme="minorEastAsia" w:hAnsiTheme="minorEastAsia" w:eastAsiaTheme="minorEastAsia"/>
                <w:sz w:val="28"/>
                <w:szCs w:val="28"/>
              </w:rPr>
            </w:pPr>
          </w:p>
        </w:tc>
      </w:tr>
      <w:tr w14:paraId="61CA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38" w:type="dxa"/>
            <w:vAlign w:val="center"/>
          </w:tcPr>
          <w:p w14:paraId="4B5A04D8">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922" w:type="dxa"/>
          </w:tcPr>
          <w:p w14:paraId="7901732A">
            <w:pPr>
              <w:spacing w:line="360" w:lineRule="exact"/>
              <w:jc w:val="center"/>
              <w:rPr>
                <w:rFonts w:asciiTheme="minorEastAsia" w:hAnsiTheme="minorEastAsia" w:eastAsiaTheme="minorEastAsia"/>
                <w:sz w:val="28"/>
                <w:szCs w:val="28"/>
              </w:rPr>
            </w:pPr>
          </w:p>
        </w:tc>
        <w:tc>
          <w:tcPr>
            <w:tcW w:w="2415" w:type="dxa"/>
          </w:tcPr>
          <w:p w14:paraId="634D3054">
            <w:pPr>
              <w:spacing w:line="360" w:lineRule="exact"/>
              <w:rPr>
                <w:rFonts w:asciiTheme="minorEastAsia" w:hAnsiTheme="minorEastAsia" w:eastAsiaTheme="minorEastAsia"/>
                <w:sz w:val="28"/>
                <w:szCs w:val="28"/>
              </w:rPr>
            </w:pPr>
          </w:p>
        </w:tc>
        <w:tc>
          <w:tcPr>
            <w:tcW w:w="2415" w:type="dxa"/>
            <w:vAlign w:val="center"/>
          </w:tcPr>
          <w:p w14:paraId="18456DB3">
            <w:pPr>
              <w:spacing w:line="360" w:lineRule="exact"/>
              <w:jc w:val="center"/>
              <w:rPr>
                <w:rFonts w:asciiTheme="minorEastAsia" w:hAnsiTheme="minorEastAsia" w:eastAsiaTheme="minorEastAsia"/>
                <w:sz w:val="28"/>
                <w:szCs w:val="28"/>
              </w:rPr>
            </w:pPr>
          </w:p>
        </w:tc>
        <w:tc>
          <w:tcPr>
            <w:tcW w:w="1890" w:type="dxa"/>
            <w:vAlign w:val="center"/>
          </w:tcPr>
          <w:p w14:paraId="650D6B12">
            <w:pPr>
              <w:spacing w:line="360" w:lineRule="exact"/>
              <w:jc w:val="center"/>
              <w:rPr>
                <w:rFonts w:asciiTheme="minorEastAsia" w:hAnsiTheme="minorEastAsia" w:eastAsiaTheme="minorEastAsia"/>
                <w:sz w:val="28"/>
                <w:szCs w:val="28"/>
              </w:rPr>
            </w:pPr>
          </w:p>
        </w:tc>
      </w:tr>
    </w:tbl>
    <w:p w14:paraId="21DE9BF1">
      <w:pPr>
        <w:spacing w:line="440" w:lineRule="exact"/>
        <w:ind w:left="1120" w:hanging="1120" w:hangingChars="400"/>
        <w:rPr>
          <w:rFonts w:asciiTheme="minorEastAsia" w:hAnsiTheme="minorEastAsia" w:eastAsiaTheme="minorEastAsia"/>
          <w:sz w:val="28"/>
          <w:szCs w:val="28"/>
        </w:rPr>
      </w:pPr>
      <w:r>
        <w:rPr>
          <w:rFonts w:hint="eastAsia" w:asciiTheme="minorEastAsia" w:hAnsiTheme="minorEastAsia" w:eastAsiaTheme="minorEastAsia"/>
          <w:sz w:val="28"/>
          <w:szCs w:val="28"/>
        </w:rPr>
        <w:t>[说明]（1）报价文件应达到采购文件的技术要求，报价人在响应栏中必须逐项响应技术要求。如果报价人只注明“符合”或“满足”，将被视为“不符合”，从而可能导致严重影响评审结果。</w:t>
      </w:r>
    </w:p>
    <w:p w14:paraId="73003014">
      <w:pPr>
        <w:spacing w:line="440" w:lineRule="exact"/>
        <w:ind w:left="420" w:leftChars="200" w:firstLine="428" w:firstLineChars="153"/>
        <w:rPr>
          <w:rFonts w:asciiTheme="minorEastAsia" w:hAnsiTheme="minorEastAsia" w:eastAsiaTheme="minorEastAsia"/>
          <w:sz w:val="28"/>
          <w:szCs w:val="28"/>
        </w:rPr>
      </w:pPr>
      <w:r>
        <w:rPr>
          <w:rFonts w:hint="eastAsia" w:asciiTheme="minorEastAsia" w:hAnsiTheme="minorEastAsia" w:eastAsiaTheme="minorEastAsia"/>
          <w:sz w:val="28"/>
          <w:szCs w:val="28"/>
        </w:rPr>
        <w:t>（2）报价人认为有必要列示的其它指标可在表中列出。</w:t>
      </w:r>
    </w:p>
    <w:p w14:paraId="6743EFDA">
      <w:pPr>
        <w:spacing w:line="440" w:lineRule="exact"/>
        <w:ind w:left="420" w:leftChars="200" w:firstLine="428" w:firstLineChars="153"/>
        <w:rPr>
          <w:rFonts w:asciiTheme="minorEastAsia" w:hAnsiTheme="minorEastAsia" w:eastAsiaTheme="minorEastAsia"/>
          <w:sz w:val="28"/>
          <w:szCs w:val="28"/>
        </w:rPr>
      </w:pPr>
    </w:p>
    <w:p w14:paraId="5305E4B5">
      <w:pPr>
        <w:spacing w:line="440" w:lineRule="exact"/>
        <w:jc w:val="center"/>
        <w:rPr>
          <w:rFonts w:asciiTheme="minorEastAsia" w:hAnsiTheme="minorEastAsia" w:eastAsiaTheme="minorEastAsia"/>
          <w:sz w:val="28"/>
          <w:szCs w:val="28"/>
        </w:rPr>
      </w:pPr>
    </w:p>
    <w:p w14:paraId="53BACC4D">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报价人（法人公章）：</w:t>
      </w:r>
    </w:p>
    <w:p w14:paraId="4A2AE600">
      <w:pPr>
        <w:pStyle w:val="9"/>
        <w:tabs>
          <w:tab w:val="left" w:pos="3960"/>
        </w:tabs>
        <w:spacing w:line="440" w:lineRule="exact"/>
        <w:ind w:left="-4" w:leftChars="-2" w:firstLine="5180" w:firstLineChars="1850"/>
        <w:jc w:val="right"/>
        <w:rPr>
          <w:rFonts w:asciiTheme="minorEastAsia" w:hAnsiTheme="minorEastAsia" w:eastAsiaTheme="minorEastAsia"/>
          <w:sz w:val="28"/>
          <w:szCs w:val="28"/>
        </w:rPr>
      </w:pPr>
    </w:p>
    <w:p w14:paraId="07313044">
      <w:pPr>
        <w:pStyle w:val="9"/>
        <w:tabs>
          <w:tab w:val="left" w:pos="3960"/>
        </w:tabs>
        <w:spacing w:line="440" w:lineRule="exact"/>
        <w:ind w:left="-4" w:leftChars="-2" w:right="14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法定代表人（或授权代表人）：</w:t>
      </w:r>
    </w:p>
    <w:p w14:paraId="25486643">
      <w:pPr>
        <w:pStyle w:val="9"/>
        <w:tabs>
          <w:tab w:val="left" w:pos="3960"/>
        </w:tabs>
        <w:spacing w:line="440" w:lineRule="exact"/>
        <w:ind w:left="-4" w:leftChars="-2" w:right="84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14:paraId="50723DE5">
      <w:pPr>
        <w:spacing w:line="440" w:lineRule="exact"/>
        <w:ind w:firstLine="720"/>
        <w:jc w:val="center"/>
        <w:rPr>
          <w:rFonts w:cs="Courier New" w:asciiTheme="minorEastAsia" w:hAnsiTheme="minorEastAsia" w:eastAsiaTheme="minorEastAsia"/>
          <w:kern w:val="0"/>
          <w:sz w:val="28"/>
          <w:szCs w:val="28"/>
        </w:rPr>
      </w:pPr>
    </w:p>
    <w:p w14:paraId="45E9BF19">
      <w:pPr>
        <w:pStyle w:val="22"/>
        <w:spacing w:line="360" w:lineRule="auto"/>
        <w:jc w:val="center"/>
        <w:rPr>
          <w:rFonts w:cs="Courier New" w:asciiTheme="minorEastAsia" w:hAnsiTheme="minorEastAsia" w:eastAsiaTheme="minorEastAsia"/>
          <w:kern w:val="0"/>
          <w:sz w:val="28"/>
          <w:szCs w:val="28"/>
        </w:rPr>
      </w:pPr>
    </w:p>
    <w:p w14:paraId="17367ED3">
      <w:pPr>
        <w:pStyle w:val="22"/>
        <w:spacing w:line="360" w:lineRule="auto"/>
        <w:jc w:val="center"/>
        <w:rPr>
          <w:rFonts w:cs="Courier New" w:asciiTheme="minorEastAsia" w:hAnsiTheme="minorEastAsia" w:eastAsiaTheme="minorEastAsia"/>
          <w:kern w:val="0"/>
          <w:sz w:val="28"/>
          <w:szCs w:val="28"/>
        </w:rPr>
      </w:pPr>
    </w:p>
    <w:p w14:paraId="075E244E">
      <w:pPr>
        <w:pStyle w:val="22"/>
        <w:spacing w:line="360" w:lineRule="auto"/>
        <w:jc w:val="center"/>
        <w:rPr>
          <w:rFonts w:cs="Courier New" w:asciiTheme="minorEastAsia" w:hAnsiTheme="minorEastAsia" w:eastAsiaTheme="minorEastAsia"/>
          <w:kern w:val="0"/>
          <w:sz w:val="28"/>
          <w:szCs w:val="28"/>
        </w:rPr>
      </w:pPr>
    </w:p>
    <w:p w14:paraId="7C4179F1">
      <w:pPr>
        <w:pStyle w:val="22"/>
        <w:spacing w:line="360" w:lineRule="auto"/>
        <w:jc w:val="center"/>
        <w:rPr>
          <w:rFonts w:cs="Courier New" w:asciiTheme="minorEastAsia" w:hAnsiTheme="minorEastAsia" w:eastAsiaTheme="minorEastAsia"/>
          <w:kern w:val="0"/>
          <w:sz w:val="28"/>
          <w:szCs w:val="28"/>
        </w:rPr>
      </w:pPr>
    </w:p>
    <w:p w14:paraId="0F276B0D">
      <w:pPr>
        <w:pStyle w:val="22"/>
        <w:spacing w:line="360" w:lineRule="auto"/>
        <w:jc w:val="center"/>
        <w:rPr>
          <w:rFonts w:cs="Courier New" w:asciiTheme="minorEastAsia" w:hAnsiTheme="minorEastAsia" w:eastAsiaTheme="minorEastAsia"/>
          <w:kern w:val="0"/>
          <w:sz w:val="28"/>
          <w:szCs w:val="28"/>
        </w:rPr>
      </w:pPr>
    </w:p>
    <w:p w14:paraId="5DF01F99">
      <w:pPr>
        <w:pStyle w:val="22"/>
        <w:spacing w:line="360" w:lineRule="auto"/>
        <w:jc w:val="center"/>
        <w:rPr>
          <w:rFonts w:cs="Courier New" w:asciiTheme="minorEastAsia" w:hAnsiTheme="minorEastAsia" w:eastAsiaTheme="minorEastAsia"/>
          <w:kern w:val="0"/>
          <w:sz w:val="28"/>
          <w:szCs w:val="28"/>
        </w:rPr>
      </w:pPr>
    </w:p>
    <w:p w14:paraId="687BB812">
      <w:pPr>
        <w:pStyle w:val="9"/>
        <w:rPr>
          <w:rFonts w:asciiTheme="minorEastAsia" w:hAnsiTheme="minorEastAsia" w:eastAsiaTheme="minorEastAsia"/>
        </w:rPr>
      </w:pPr>
    </w:p>
    <w:p w14:paraId="535BA0AF">
      <w:pPr>
        <w:pStyle w:val="22"/>
        <w:spacing w:line="360" w:lineRule="auto"/>
        <w:jc w:val="center"/>
        <w:rPr>
          <w:rFonts w:cs="Courier New" w:asciiTheme="minorEastAsia" w:hAnsiTheme="minorEastAsia" w:eastAsiaTheme="minorEastAsia"/>
          <w:kern w:val="0"/>
          <w:sz w:val="28"/>
          <w:szCs w:val="28"/>
        </w:rPr>
      </w:pPr>
    </w:p>
    <w:p w14:paraId="75DFEF16">
      <w:pPr>
        <w:pStyle w:val="9"/>
      </w:pPr>
    </w:p>
    <w:p w14:paraId="47C6BEF6">
      <w:pPr>
        <w:keepNext/>
        <w:keepLines/>
        <w:autoSpaceDE w:val="0"/>
        <w:autoSpaceDN w:val="0"/>
        <w:adjustRightInd w:val="0"/>
        <w:spacing w:before="260" w:after="260" w:line="360" w:lineRule="exact"/>
        <w:jc w:val="center"/>
        <w:outlineLvl w:val="1"/>
        <w:rPr>
          <w:rFonts w:cs="Arial" w:asciiTheme="minorEastAsia" w:hAnsiTheme="minorEastAsia" w:eastAsiaTheme="minorEastAsia"/>
          <w:bCs/>
          <w:sz w:val="28"/>
          <w:szCs w:val="28"/>
          <w:lang w:val="zh-CN"/>
        </w:rPr>
      </w:pPr>
      <w:r>
        <w:rPr>
          <w:rFonts w:hint="eastAsia" w:cs="Arial" w:asciiTheme="minorEastAsia" w:hAnsiTheme="minorEastAsia" w:eastAsiaTheme="minorEastAsia"/>
          <w:bCs/>
          <w:sz w:val="28"/>
          <w:szCs w:val="28"/>
          <w:lang w:val="zh-CN"/>
        </w:rPr>
        <w:t>格式</w:t>
      </w:r>
      <w:r>
        <w:rPr>
          <w:rFonts w:hint="eastAsia" w:cs="Arial" w:asciiTheme="minorEastAsia" w:hAnsiTheme="minorEastAsia" w:eastAsiaTheme="minorEastAsia"/>
          <w:bCs/>
          <w:sz w:val="28"/>
          <w:szCs w:val="28"/>
        </w:rPr>
        <w:t>3</w:t>
      </w:r>
      <w:r>
        <w:rPr>
          <w:rFonts w:hint="eastAsia" w:cs="Arial" w:asciiTheme="minorEastAsia" w:hAnsiTheme="minorEastAsia" w:eastAsiaTheme="minorEastAsia"/>
          <w:bCs/>
          <w:sz w:val="28"/>
          <w:szCs w:val="28"/>
          <w:lang w:val="zh-CN"/>
        </w:rPr>
        <w:t xml:space="preserve">  服务方案及商务需求响应表</w:t>
      </w:r>
    </w:p>
    <w:p w14:paraId="09C4BD01">
      <w:pPr>
        <w:rPr>
          <w:rFonts w:asciiTheme="minorEastAsia" w:hAnsiTheme="minorEastAsia" w:eastAsiaTheme="minorEastAsia"/>
          <w:lang w:val="zh-CN"/>
        </w:rPr>
      </w:pPr>
    </w:p>
    <w:tbl>
      <w:tblPr>
        <w:tblStyle w:val="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2"/>
        <w:gridCol w:w="2415"/>
        <w:gridCol w:w="2415"/>
        <w:gridCol w:w="1890"/>
      </w:tblGrid>
      <w:tr w14:paraId="0971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38" w:type="dxa"/>
            <w:vAlign w:val="center"/>
          </w:tcPr>
          <w:p w14:paraId="1184592D">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1922" w:type="dxa"/>
            <w:vAlign w:val="center"/>
          </w:tcPr>
          <w:p w14:paraId="2CD23DF9">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zh-CN"/>
              </w:rPr>
              <w:t>服务方案及商务需求</w:t>
            </w:r>
            <w:r>
              <w:rPr>
                <w:rFonts w:hint="eastAsia" w:asciiTheme="minorEastAsia" w:hAnsiTheme="minorEastAsia" w:eastAsiaTheme="minorEastAsia"/>
                <w:sz w:val="28"/>
                <w:szCs w:val="28"/>
              </w:rPr>
              <w:t>条目</w:t>
            </w:r>
          </w:p>
        </w:tc>
        <w:tc>
          <w:tcPr>
            <w:tcW w:w="2415" w:type="dxa"/>
            <w:vAlign w:val="center"/>
          </w:tcPr>
          <w:p w14:paraId="19BEFCC7">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采购文件要求</w:t>
            </w:r>
          </w:p>
        </w:tc>
        <w:tc>
          <w:tcPr>
            <w:tcW w:w="2415" w:type="dxa"/>
            <w:vAlign w:val="center"/>
          </w:tcPr>
          <w:p w14:paraId="317A1341">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报价文件响应</w:t>
            </w:r>
          </w:p>
        </w:tc>
        <w:tc>
          <w:tcPr>
            <w:tcW w:w="1890" w:type="dxa"/>
            <w:vAlign w:val="center"/>
          </w:tcPr>
          <w:p w14:paraId="59F0A700">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说明</w:t>
            </w:r>
          </w:p>
        </w:tc>
      </w:tr>
      <w:tr w14:paraId="2760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738" w:type="dxa"/>
            <w:vAlign w:val="center"/>
          </w:tcPr>
          <w:p w14:paraId="2059EF8E">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922" w:type="dxa"/>
          </w:tcPr>
          <w:p w14:paraId="3812A0B2">
            <w:pPr>
              <w:spacing w:line="360" w:lineRule="exact"/>
              <w:jc w:val="center"/>
              <w:rPr>
                <w:rFonts w:asciiTheme="minorEastAsia" w:hAnsiTheme="minorEastAsia" w:eastAsiaTheme="minorEastAsia"/>
                <w:sz w:val="28"/>
                <w:szCs w:val="28"/>
              </w:rPr>
            </w:pPr>
          </w:p>
        </w:tc>
        <w:tc>
          <w:tcPr>
            <w:tcW w:w="2415" w:type="dxa"/>
          </w:tcPr>
          <w:p w14:paraId="57040105">
            <w:pPr>
              <w:spacing w:line="360" w:lineRule="exact"/>
              <w:rPr>
                <w:rFonts w:asciiTheme="minorEastAsia" w:hAnsiTheme="minorEastAsia" w:eastAsiaTheme="minorEastAsia"/>
                <w:sz w:val="28"/>
                <w:szCs w:val="28"/>
              </w:rPr>
            </w:pPr>
          </w:p>
        </w:tc>
        <w:tc>
          <w:tcPr>
            <w:tcW w:w="2415" w:type="dxa"/>
            <w:vAlign w:val="center"/>
          </w:tcPr>
          <w:p w14:paraId="47452B8B">
            <w:pPr>
              <w:spacing w:line="360" w:lineRule="exact"/>
              <w:jc w:val="center"/>
              <w:rPr>
                <w:rFonts w:asciiTheme="minorEastAsia" w:hAnsiTheme="minorEastAsia" w:eastAsiaTheme="minorEastAsia"/>
                <w:sz w:val="28"/>
                <w:szCs w:val="28"/>
              </w:rPr>
            </w:pPr>
          </w:p>
        </w:tc>
        <w:tc>
          <w:tcPr>
            <w:tcW w:w="1890" w:type="dxa"/>
            <w:vAlign w:val="center"/>
          </w:tcPr>
          <w:p w14:paraId="6A18F590">
            <w:pPr>
              <w:spacing w:line="360" w:lineRule="exact"/>
              <w:jc w:val="center"/>
              <w:rPr>
                <w:rFonts w:asciiTheme="minorEastAsia" w:hAnsiTheme="minorEastAsia" w:eastAsiaTheme="minorEastAsia"/>
                <w:sz w:val="28"/>
                <w:szCs w:val="28"/>
              </w:rPr>
            </w:pPr>
          </w:p>
        </w:tc>
      </w:tr>
      <w:tr w14:paraId="43D6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38" w:type="dxa"/>
            <w:vAlign w:val="center"/>
          </w:tcPr>
          <w:p w14:paraId="5874893D">
            <w:pPr>
              <w:spacing w:line="3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922" w:type="dxa"/>
          </w:tcPr>
          <w:p w14:paraId="58FF3D6A">
            <w:pPr>
              <w:spacing w:line="360" w:lineRule="exact"/>
              <w:jc w:val="center"/>
              <w:rPr>
                <w:rFonts w:asciiTheme="minorEastAsia" w:hAnsiTheme="minorEastAsia" w:eastAsiaTheme="minorEastAsia"/>
                <w:sz w:val="28"/>
                <w:szCs w:val="28"/>
              </w:rPr>
            </w:pPr>
          </w:p>
        </w:tc>
        <w:tc>
          <w:tcPr>
            <w:tcW w:w="2415" w:type="dxa"/>
          </w:tcPr>
          <w:p w14:paraId="733A2C67">
            <w:pPr>
              <w:spacing w:line="360" w:lineRule="exact"/>
              <w:rPr>
                <w:rFonts w:asciiTheme="minorEastAsia" w:hAnsiTheme="minorEastAsia" w:eastAsiaTheme="minorEastAsia"/>
                <w:sz w:val="28"/>
                <w:szCs w:val="28"/>
              </w:rPr>
            </w:pPr>
          </w:p>
        </w:tc>
        <w:tc>
          <w:tcPr>
            <w:tcW w:w="2415" w:type="dxa"/>
            <w:vAlign w:val="center"/>
          </w:tcPr>
          <w:p w14:paraId="673D088F">
            <w:pPr>
              <w:spacing w:line="360" w:lineRule="exact"/>
              <w:jc w:val="center"/>
              <w:rPr>
                <w:rFonts w:asciiTheme="minorEastAsia" w:hAnsiTheme="minorEastAsia" w:eastAsiaTheme="minorEastAsia"/>
                <w:sz w:val="28"/>
                <w:szCs w:val="28"/>
              </w:rPr>
            </w:pPr>
          </w:p>
        </w:tc>
        <w:tc>
          <w:tcPr>
            <w:tcW w:w="1890" w:type="dxa"/>
            <w:vAlign w:val="center"/>
          </w:tcPr>
          <w:p w14:paraId="579EAA15">
            <w:pPr>
              <w:spacing w:line="360" w:lineRule="exact"/>
              <w:jc w:val="center"/>
              <w:rPr>
                <w:rFonts w:asciiTheme="minorEastAsia" w:hAnsiTheme="minorEastAsia" w:eastAsiaTheme="minorEastAsia"/>
                <w:sz w:val="28"/>
                <w:szCs w:val="28"/>
              </w:rPr>
            </w:pPr>
          </w:p>
        </w:tc>
      </w:tr>
    </w:tbl>
    <w:p w14:paraId="766615AD">
      <w:pPr>
        <w:spacing w:line="440" w:lineRule="exact"/>
        <w:ind w:left="1120" w:hanging="1120" w:hangingChars="400"/>
        <w:rPr>
          <w:rFonts w:asciiTheme="minorEastAsia" w:hAnsiTheme="minorEastAsia" w:eastAsiaTheme="minorEastAsia"/>
          <w:sz w:val="28"/>
          <w:szCs w:val="28"/>
        </w:rPr>
      </w:pPr>
      <w:r>
        <w:rPr>
          <w:rFonts w:hint="eastAsia" w:asciiTheme="minorEastAsia" w:hAnsiTheme="minorEastAsia" w:eastAsiaTheme="minorEastAsia"/>
          <w:sz w:val="28"/>
          <w:szCs w:val="28"/>
        </w:rPr>
        <w:t>[说明]（1）报价文件应达到采购文件的</w:t>
      </w:r>
      <w:r>
        <w:rPr>
          <w:rFonts w:hint="eastAsia" w:asciiTheme="minorEastAsia" w:hAnsiTheme="minorEastAsia" w:eastAsiaTheme="minorEastAsia"/>
          <w:sz w:val="28"/>
          <w:szCs w:val="28"/>
          <w:lang w:val="zh-CN"/>
        </w:rPr>
        <w:t>服务方案及商务需求（包括但不限于项目工期、实施要求、验收要求、售后服务和培训要求、付款方式、合同格式条款等），报价人在响应栏中必须逐项</w:t>
      </w:r>
      <w:r>
        <w:rPr>
          <w:rFonts w:hint="eastAsia" w:asciiTheme="minorEastAsia" w:hAnsiTheme="minorEastAsia" w:eastAsiaTheme="minorEastAsia"/>
          <w:sz w:val="28"/>
          <w:szCs w:val="28"/>
        </w:rPr>
        <w:t>响应相关要求。如果报价人只注明“符合”或“满足”，将被视为“不符合”，从而可能导致严重影响评审结果。</w:t>
      </w:r>
    </w:p>
    <w:p w14:paraId="32617B9D">
      <w:pPr>
        <w:spacing w:line="440" w:lineRule="exact"/>
        <w:ind w:left="1118" w:leftChars="399" w:hanging="280" w:hangingChars="100"/>
        <w:rPr>
          <w:rFonts w:asciiTheme="minorEastAsia" w:hAnsiTheme="minorEastAsia" w:eastAsiaTheme="minorEastAsia"/>
          <w:sz w:val="28"/>
          <w:szCs w:val="28"/>
        </w:rPr>
      </w:pPr>
      <w:r>
        <w:rPr>
          <w:rFonts w:hint="eastAsia" w:asciiTheme="minorEastAsia" w:hAnsiTheme="minorEastAsia" w:eastAsiaTheme="minorEastAsia"/>
          <w:sz w:val="28"/>
          <w:szCs w:val="28"/>
        </w:rPr>
        <w:t>（2）若无差异，留空，视为完全响应。</w:t>
      </w:r>
    </w:p>
    <w:p w14:paraId="391C12FE">
      <w:pPr>
        <w:spacing w:line="440" w:lineRule="exact"/>
        <w:ind w:left="420" w:leftChars="200" w:firstLine="428" w:firstLineChars="153"/>
        <w:rPr>
          <w:rFonts w:asciiTheme="minorEastAsia" w:hAnsiTheme="minorEastAsia" w:eastAsiaTheme="minorEastAsia"/>
          <w:sz w:val="28"/>
          <w:szCs w:val="28"/>
        </w:rPr>
      </w:pPr>
      <w:r>
        <w:rPr>
          <w:rFonts w:hint="eastAsia" w:asciiTheme="minorEastAsia" w:hAnsiTheme="minorEastAsia" w:eastAsiaTheme="minorEastAsia"/>
          <w:sz w:val="28"/>
          <w:szCs w:val="28"/>
        </w:rPr>
        <w:t>（3）报价人认为有必要列示的其它指标可在表中列出。</w:t>
      </w:r>
    </w:p>
    <w:p w14:paraId="745186AB">
      <w:pPr>
        <w:spacing w:line="440" w:lineRule="exact"/>
        <w:ind w:left="420" w:leftChars="200" w:firstLine="428" w:firstLineChars="153"/>
        <w:rPr>
          <w:rFonts w:asciiTheme="minorEastAsia" w:hAnsiTheme="minorEastAsia" w:eastAsiaTheme="minorEastAsia"/>
          <w:sz w:val="28"/>
          <w:szCs w:val="28"/>
        </w:rPr>
      </w:pPr>
    </w:p>
    <w:p w14:paraId="25F8775E">
      <w:pPr>
        <w:spacing w:line="440" w:lineRule="exact"/>
        <w:ind w:left="420" w:leftChars="200" w:firstLine="428" w:firstLineChars="153"/>
        <w:rPr>
          <w:rFonts w:asciiTheme="minorEastAsia" w:hAnsiTheme="minorEastAsia" w:eastAsiaTheme="minorEastAsia"/>
          <w:sz w:val="28"/>
          <w:szCs w:val="28"/>
        </w:rPr>
      </w:pPr>
    </w:p>
    <w:p w14:paraId="11B1E781">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报价人（法人公章）：</w:t>
      </w:r>
    </w:p>
    <w:p w14:paraId="2489CB11">
      <w:pPr>
        <w:pStyle w:val="9"/>
        <w:tabs>
          <w:tab w:val="left" w:pos="3960"/>
        </w:tabs>
        <w:spacing w:line="440" w:lineRule="exact"/>
        <w:ind w:left="-4" w:leftChars="-2" w:firstLine="5180" w:firstLineChars="1850"/>
        <w:jc w:val="right"/>
        <w:rPr>
          <w:rFonts w:asciiTheme="minorEastAsia" w:hAnsiTheme="minorEastAsia" w:eastAsiaTheme="minorEastAsia"/>
          <w:sz w:val="28"/>
          <w:szCs w:val="28"/>
        </w:rPr>
      </w:pPr>
    </w:p>
    <w:p w14:paraId="794C24D4">
      <w:pPr>
        <w:pStyle w:val="9"/>
        <w:tabs>
          <w:tab w:val="left" w:pos="3960"/>
        </w:tabs>
        <w:spacing w:line="440" w:lineRule="exact"/>
        <w:ind w:left="-4" w:leftChars="-2" w:right="14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法定代表人（或授权代表人）：</w:t>
      </w:r>
    </w:p>
    <w:p w14:paraId="7E14538A">
      <w:pPr>
        <w:pStyle w:val="9"/>
        <w:tabs>
          <w:tab w:val="left" w:pos="3960"/>
        </w:tabs>
        <w:spacing w:line="440" w:lineRule="exact"/>
        <w:ind w:left="-4" w:leftChars="-2" w:right="84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14:paraId="0F130D32">
      <w:pPr>
        <w:pStyle w:val="22"/>
        <w:spacing w:line="360" w:lineRule="auto"/>
        <w:jc w:val="center"/>
        <w:rPr>
          <w:rFonts w:cs="Courier New" w:asciiTheme="minorEastAsia" w:hAnsiTheme="minorEastAsia" w:eastAsiaTheme="minorEastAsia"/>
          <w:kern w:val="0"/>
          <w:sz w:val="28"/>
          <w:szCs w:val="28"/>
        </w:rPr>
      </w:pPr>
    </w:p>
    <w:p w14:paraId="46F8699E">
      <w:pPr>
        <w:pStyle w:val="22"/>
        <w:spacing w:line="360" w:lineRule="auto"/>
        <w:jc w:val="center"/>
        <w:rPr>
          <w:rFonts w:cs="Courier New" w:asciiTheme="minorEastAsia" w:hAnsiTheme="minorEastAsia" w:eastAsiaTheme="minorEastAsia"/>
          <w:kern w:val="0"/>
          <w:sz w:val="28"/>
          <w:szCs w:val="28"/>
        </w:rPr>
      </w:pPr>
    </w:p>
    <w:p w14:paraId="1BE50DFE">
      <w:pPr>
        <w:pStyle w:val="22"/>
        <w:spacing w:line="360" w:lineRule="auto"/>
        <w:jc w:val="center"/>
        <w:rPr>
          <w:rFonts w:cs="Courier New" w:asciiTheme="minorEastAsia" w:hAnsiTheme="minorEastAsia" w:eastAsiaTheme="minorEastAsia"/>
          <w:kern w:val="0"/>
          <w:sz w:val="28"/>
          <w:szCs w:val="28"/>
        </w:rPr>
      </w:pPr>
      <w:r>
        <w:rPr>
          <w:rFonts w:cs="Courier New" w:asciiTheme="minorEastAsia" w:hAnsiTheme="minorEastAsia" w:eastAsiaTheme="minorEastAsia"/>
          <w:kern w:val="0"/>
          <w:sz w:val="28"/>
          <w:szCs w:val="28"/>
        </w:rPr>
        <w:br w:type="page"/>
      </w:r>
      <w:r>
        <w:rPr>
          <w:rFonts w:hint="eastAsia" w:cs="Courier New" w:asciiTheme="minorEastAsia" w:hAnsiTheme="minorEastAsia" w:eastAsiaTheme="minorEastAsia"/>
          <w:kern w:val="0"/>
          <w:sz w:val="28"/>
          <w:szCs w:val="28"/>
        </w:rPr>
        <w:t>格式4   法定代表人身份证明书</w:t>
      </w:r>
    </w:p>
    <w:p w14:paraId="5E523C5C">
      <w:pPr>
        <w:pStyle w:val="6"/>
        <w:spacing w:line="360" w:lineRule="auto"/>
        <w:rPr>
          <w:rFonts w:asciiTheme="minorEastAsia" w:hAnsiTheme="minorEastAsia" w:eastAsiaTheme="minorEastAsia"/>
          <w:sz w:val="24"/>
          <w:szCs w:val="21"/>
        </w:rPr>
      </w:pPr>
      <w:r>
        <w:rPr>
          <w:rFonts w:hint="eastAsia" w:asciiTheme="minorEastAsia" w:hAnsiTheme="minorEastAsia" w:eastAsiaTheme="minorEastAsia"/>
          <w:sz w:val="24"/>
          <w:szCs w:val="21"/>
        </w:rPr>
        <w:t>广州大学：</w:t>
      </w:r>
    </w:p>
    <w:p w14:paraId="2DAA93EB">
      <w:pPr>
        <w:pStyle w:val="6"/>
        <w:spacing w:line="360" w:lineRule="auto"/>
        <w:ind w:firstLine="1440" w:firstLineChars="600"/>
        <w:rPr>
          <w:rFonts w:asciiTheme="minorEastAsia" w:hAnsiTheme="minorEastAsia" w:eastAsiaTheme="minorEastAsia"/>
          <w:sz w:val="24"/>
          <w:szCs w:val="21"/>
        </w:rPr>
      </w:pPr>
      <w:r>
        <w:rPr>
          <w:rFonts w:hint="eastAsia" w:asciiTheme="minorEastAsia" w:hAnsiTheme="minorEastAsia" w:eastAsiaTheme="minorEastAsia"/>
          <w:sz w:val="24"/>
          <w:szCs w:val="21"/>
        </w:rPr>
        <w:t>同志，现任我单位职务，为法定代表人，特此证明。</w:t>
      </w:r>
    </w:p>
    <w:p w14:paraId="6765E56A">
      <w:pPr>
        <w:pStyle w:val="6"/>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签发日期：   单位：（盖章）</w:t>
      </w:r>
    </w:p>
    <w:p w14:paraId="78A3B0DD">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附：代表人性别：   年龄：    身份证号码：</w:t>
      </w:r>
    </w:p>
    <w:p w14:paraId="7E78856F">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联系电话：</w:t>
      </w:r>
    </w:p>
    <w:p w14:paraId="5279DB18">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营业执照号码：            经济性质：</w:t>
      </w:r>
    </w:p>
    <w:p w14:paraId="4E243CA2">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主营（产）：</w:t>
      </w:r>
    </w:p>
    <w:p w14:paraId="4B743F1B">
      <w:pPr>
        <w:pStyle w:val="6"/>
        <w:spacing w:line="360" w:lineRule="auto"/>
        <w:ind w:firstLine="480"/>
        <w:rPr>
          <w:rFonts w:asciiTheme="minorEastAsia" w:hAnsiTheme="minorEastAsia" w:eastAsiaTheme="minorEastAsia"/>
          <w:sz w:val="24"/>
          <w:szCs w:val="21"/>
          <w:u w:val="single"/>
        </w:rPr>
      </w:pPr>
      <w:r>
        <w:rPr>
          <w:rFonts w:hint="eastAsia" w:asciiTheme="minorEastAsia" w:hAnsiTheme="minorEastAsia" w:eastAsiaTheme="minorEastAsia"/>
          <w:sz w:val="24"/>
          <w:szCs w:val="21"/>
        </w:rPr>
        <w:t>兼营（产）：</w:t>
      </w:r>
    </w:p>
    <w:p w14:paraId="698D4F6A">
      <w:pPr>
        <w:pStyle w:val="6"/>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说明：1、法定代表人为企事业单位、国家机关、社会团体的主要行政负责人。</w:t>
      </w:r>
    </w:p>
    <w:p w14:paraId="623AEF7F">
      <w:pPr>
        <w:pStyle w:val="6"/>
        <w:spacing w:line="360" w:lineRule="auto"/>
        <w:ind w:firstLine="1200" w:firstLineChars="500"/>
        <w:rPr>
          <w:rFonts w:asciiTheme="minorEastAsia" w:hAnsiTheme="minorEastAsia" w:eastAsiaTheme="minorEastAsia"/>
          <w:sz w:val="24"/>
          <w:szCs w:val="21"/>
        </w:rPr>
      </w:pPr>
      <w:r>
        <w:rPr>
          <w:rFonts w:hint="eastAsia" w:asciiTheme="minorEastAsia" w:hAnsiTheme="minorEastAsia" w:eastAsiaTheme="minorEastAsia"/>
          <w:sz w:val="24"/>
          <w:szCs w:val="21"/>
        </w:rPr>
        <w:t>2、内容必须填写真实、清楚、涂改无效，不得转让、买卖。</w:t>
      </w:r>
      <w:r>
        <w:rPr>
          <w:rFonts w:asciiTheme="minorEastAsia" w:hAnsiTheme="minorEastAsia" w:eastAsiaTheme="minorEastAsia"/>
          <w:sz w:val="24"/>
          <w:szCs w:val="21"/>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237490</wp:posOffset>
                </wp:positionV>
                <wp:extent cx="5011420" cy="1081405"/>
                <wp:effectExtent l="0" t="0" r="0" b="4445"/>
                <wp:wrapNone/>
                <wp:docPr id="2" name="AutoShape 2"/>
                <wp:cNvGraphicFramePr/>
                <a:graphic xmlns:a="http://schemas.openxmlformats.org/drawingml/2006/main">
                  <a:graphicData uri="http://schemas.microsoft.com/office/word/2010/wordprocessingShape">
                    <wps:wsp>
                      <wps:cNvSpPr>
                        <a:spLocks noChangeArrowheads="1"/>
                      </wps:cNvSpPr>
                      <wps:spPr bwMode="auto">
                        <a:xfrm>
                          <a:off x="0" y="0"/>
                          <a:ext cx="5011420" cy="1081405"/>
                        </a:xfrm>
                        <a:prstGeom prst="flowChartAlternateProcess">
                          <a:avLst/>
                        </a:prstGeom>
                        <a:solidFill>
                          <a:srgbClr val="FFFFFF"/>
                        </a:solidFill>
                        <a:ln w="9525">
                          <a:solidFill>
                            <a:srgbClr val="000000"/>
                          </a:solidFill>
                          <a:prstDash val="dash"/>
                          <a:miter lim="800000"/>
                        </a:ln>
                      </wps:spPr>
                      <wps:txbx>
                        <w:txbxContent>
                          <w:p w14:paraId="76C6676B">
                            <w:pPr>
                              <w:rPr>
                                <w:b/>
                                <w:sz w:val="22"/>
                              </w:rPr>
                            </w:pPr>
                            <w:r>
                              <w:rPr>
                                <w:rFonts w:hint="eastAsia"/>
                                <w:b/>
                                <w:sz w:val="22"/>
                              </w:rPr>
                              <w:t>提示：请将法定代表人身份证复印件（正反面）粘贴在此处，并加盖公章。</w:t>
                            </w:r>
                          </w:p>
                          <w:p w14:paraId="17241406">
                            <w:pPr>
                              <w:rPr>
                                <w:b/>
                                <w:sz w:val="22"/>
                              </w:rPr>
                            </w:pPr>
                          </w:p>
                        </w:txbxContent>
                      </wps:txbx>
                      <wps:bodyPr rot="0" vert="horz" wrap="square" lIns="91440" tIns="45720" rIns="91440" bIns="45720" anchor="t" anchorCtr="0" upright="1">
                        <a:noAutofit/>
                      </wps:bodyPr>
                    </wps:wsp>
                  </a:graphicData>
                </a:graphic>
              </wp:anchor>
            </w:drawing>
          </mc:Choice>
          <mc:Fallback>
            <w:pict>
              <v:shape id="AutoShape 2" o:spid="_x0000_s1026" o:spt="176" type="#_x0000_t176" style="position:absolute;left:0pt;margin-left:34.4pt;margin-top:18.7pt;height:85.15pt;width:394.6pt;z-index:251659264;mso-width-relative:page;mso-height-relative:page;" fillcolor="#FFFFFF" filled="t" stroked="t" coordsize="21600,21600" o:gfxdata="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WC8Tf2gAAAAkBAAAPAAAAAAAAAAEAIAAA&#10;ACIAAABkcnMvZG93bnJldi54bWxQSwECFAAUAAAACACHTuJAWqjhNkMCAACrBAAADgAAAAAAAAAB&#10;ACAAAAApAQAAZHJzL2Uyb0RvYy54bWxQSwUGAAAAAAYABgBZAQAA3gUAAAAA&#10;">
                <v:fill on="t" focussize="0,0"/>
                <v:stroke color="#000000" miterlimit="8" joinstyle="miter" dashstyle="dash"/>
                <v:imagedata o:title=""/>
                <o:lock v:ext="edit" aspectratio="f"/>
                <v:textbox>
                  <w:txbxContent>
                    <w:p w14:paraId="76C6676B">
                      <w:pPr>
                        <w:rPr>
                          <w:b/>
                          <w:sz w:val="22"/>
                        </w:rPr>
                      </w:pPr>
                      <w:r>
                        <w:rPr>
                          <w:rFonts w:hint="eastAsia"/>
                          <w:b/>
                          <w:sz w:val="22"/>
                        </w:rPr>
                        <w:t>提示：请将法定代表人身份证复印件（正反面）粘贴在此处，并加盖公章。</w:t>
                      </w:r>
                    </w:p>
                    <w:p w14:paraId="17241406">
                      <w:pPr>
                        <w:rPr>
                          <w:b/>
                          <w:sz w:val="22"/>
                        </w:rPr>
                      </w:pPr>
                    </w:p>
                  </w:txbxContent>
                </v:textbox>
              </v:shape>
            </w:pict>
          </mc:Fallback>
        </mc:AlternateContent>
      </w:r>
    </w:p>
    <w:p w14:paraId="70495A29">
      <w:pPr>
        <w:pStyle w:val="14"/>
        <w:spacing w:line="300" w:lineRule="auto"/>
        <w:rPr>
          <w:rFonts w:cs="Arial" w:asciiTheme="minorEastAsia" w:hAnsiTheme="minorEastAsia" w:eastAsiaTheme="minorEastAsia"/>
          <w:bCs/>
        </w:rPr>
      </w:pPr>
    </w:p>
    <w:p w14:paraId="4DDCB56A">
      <w:pPr>
        <w:pStyle w:val="14"/>
        <w:spacing w:line="300" w:lineRule="auto"/>
        <w:rPr>
          <w:rFonts w:cs="Arial" w:asciiTheme="minorEastAsia" w:hAnsiTheme="minorEastAsia" w:eastAsiaTheme="minorEastAsia"/>
          <w:bCs/>
        </w:rPr>
      </w:pPr>
    </w:p>
    <w:p w14:paraId="23DC7DFF">
      <w:pPr>
        <w:pStyle w:val="14"/>
        <w:spacing w:line="300" w:lineRule="auto"/>
        <w:rPr>
          <w:rFonts w:cs="Arial" w:asciiTheme="minorEastAsia" w:hAnsiTheme="minorEastAsia" w:eastAsiaTheme="minorEastAsia"/>
          <w:bCs/>
        </w:rPr>
      </w:pPr>
    </w:p>
    <w:p w14:paraId="1CE17C6E">
      <w:pPr>
        <w:pStyle w:val="9"/>
        <w:pageBreakBefore/>
        <w:jc w:val="center"/>
        <w:rPr>
          <w:rFonts w:cs="Arial" w:asciiTheme="minorEastAsia" w:hAnsiTheme="minorEastAsia" w:eastAsiaTheme="minorEastAsia"/>
          <w:bCs/>
          <w:sz w:val="24"/>
          <w:szCs w:val="24"/>
        </w:rPr>
      </w:pPr>
      <w:r>
        <w:rPr>
          <w:rFonts w:hint="eastAsia" w:asciiTheme="minorEastAsia" w:hAnsiTheme="minorEastAsia" w:eastAsiaTheme="minorEastAsia"/>
          <w:sz w:val="28"/>
          <w:szCs w:val="28"/>
          <w:lang w:val="en-GB"/>
        </w:rPr>
        <w:t>格式</w:t>
      </w:r>
      <w:r>
        <w:rPr>
          <w:rFonts w:hint="eastAsia" w:asciiTheme="minorEastAsia" w:hAnsiTheme="minorEastAsia" w:eastAsiaTheme="minorEastAsia"/>
          <w:sz w:val="28"/>
          <w:szCs w:val="28"/>
        </w:rPr>
        <w:t>5授权委托证明书</w:t>
      </w:r>
    </w:p>
    <w:p w14:paraId="23D85BCC">
      <w:pPr>
        <w:spacing w:line="360" w:lineRule="auto"/>
        <w:rPr>
          <w:rFonts w:asciiTheme="minorEastAsia" w:hAnsiTheme="minorEastAsia" w:eastAsiaTheme="minorEastAsia"/>
          <w:sz w:val="24"/>
        </w:rPr>
      </w:pPr>
      <w:r>
        <w:rPr>
          <w:rFonts w:hint="eastAsia" w:asciiTheme="minorEastAsia" w:hAnsiTheme="minorEastAsia" w:eastAsiaTheme="minorEastAsia"/>
          <w:sz w:val="24"/>
        </w:rPr>
        <w:t>广州大学：</w:t>
      </w:r>
    </w:p>
    <w:p w14:paraId="1D976E74">
      <w:pPr>
        <w:spacing w:line="360" w:lineRule="auto"/>
        <w:rPr>
          <w:rFonts w:asciiTheme="minorEastAsia" w:hAnsiTheme="minorEastAsia" w:eastAsiaTheme="minorEastAsia"/>
          <w:sz w:val="24"/>
        </w:rPr>
      </w:pPr>
      <w:r>
        <w:rPr>
          <w:rFonts w:hint="eastAsia" w:asciiTheme="minorEastAsia" w:hAnsiTheme="minorEastAsia" w:eastAsiaTheme="minorEastAsia"/>
          <w:sz w:val="24"/>
        </w:rPr>
        <w:t>（报价单位全称）法定代表人（姓名）兹授权（授权代表姓名）为授权代表，参加贵方组织的项目采购活动。</w:t>
      </w:r>
    </w:p>
    <w:p w14:paraId="791210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（授权代表姓名）以我单位的名义并代表我单位签署报价书和所有报价文件，进行谈判、签署合同和全权处理招报价活动中的一切事宜，其在该项目招报价活动中的一切行为对我单位具有法律约束力。</w:t>
      </w:r>
    </w:p>
    <w:p w14:paraId="7FCAFA4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有效期限：至年月日 </w:t>
      </w:r>
    </w:p>
    <w:p w14:paraId="6CAB0E34">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报价单位名称（公章）：</w:t>
      </w:r>
    </w:p>
    <w:p w14:paraId="5E8B5F81">
      <w:pPr>
        <w:pStyle w:val="1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法定代表人（签字）：</w:t>
      </w:r>
    </w:p>
    <w:p w14:paraId="29646A2D">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     年   月日</w:t>
      </w:r>
    </w:p>
    <w:p w14:paraId="1D5D2FFB">
      <w:pPr>
        <w:pStyle w:val="1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授权代表（签字）：</w:t>
      </w:r>
    </w:p>
    <w:p w14:paraId="5C69F540">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日期：年月日</w:t>
      </w:r>
    </w:p>
    <w:p w14:paraId="2730C6CE">
      <w:pPr>
        <w:pStyle w:val="9"/>
        <w:wordWrap w:val="0"/>
        <w:spacing w:line="360" w:lineRule="auto"/>
        <w:ind w:left="3400" w:leftChars="1619"/>
        <w:jc w:val="right"/>
        <w:rPr>
          <w:rFonts w:cs="Arial" w:asciiTheme="minorEastAsia" w:hAnsiTheme="minorEastAsia" w:eastAsiaTheme="minorEastAsia"/>
          <w:sz w:val="24"/>
          <w:szCs w:val="24"/>
        </w:rPr>
      </w:pPr>
    </w:p>
    <w:p w14:paraId="7C46450D">
      <w:pPr>
        <w:pStyle w:val="9"/>
        <w:spacing w:line="360" w:lineRule="auto"/>
        <w:ind w:left="3400" w:leftChars="1619"/>
        <w:jc w:val="right"/>
        <w:rPr>
          <w:rFonts w:asciiTheme="minorEastAsia" w:hAnsiTheme="minorEastAsia" w:eastAsiaTheme="minorEastAsia"/>
          <w:sz w:val="24"/>
          <w:szCs w:val="24"/>
        </w:rPr>
      </w:pPr>
      <w:r>
        <w:rPr>
          <w:rFonts w:cs="Arial"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0</wp:posOffset>
                </wp:positionV>
                <wp:extent cx="4839970" cy="1238885"/>
                <wp:effectExtent l="0" t="0" r="0" b="0"/>
                <wp:wrapNone/>
                <wp:docPr id="1" name="AutoShape 3"/>
                <wp:cNvGraphicFramePr/>
                <a:graphic xmlns:a="http://schemas.openxmlformats.org/drawingml/2006/main">
                  <a:graphicData uri="http://schemas.microsoft.com/office/word/2010/wordprocessingShape">
                    <wps:wsp>
                      <wps:cNvSpPr>
                        <a:spLocks noChangeArrowheads="1"/>
                      </wps:cNvSpPr>
                      <wps:spPr bwMode="auto">
                        <a:xfrm>
                          <a:off x="0" y="0"/>
                          <a:ext cx="4839970" cy="1238885"/>
                        </a:xfrm>
                        <a:prstGeom prst="flowChartAlternateProcess">
                          <a:avLst/>
                        </a:prstGeom>
                        <a:solidFill>
                          <a:srgbClr val="FFFFFF"/>
                        </a:solidFill>
                        <a:ln w="9525">
                          <a:solidFill>
                            <a:srgbClr val="000000"/>
                          </a:solidFill>
                          <a:prstDash val="dash"/>
                          <a:miter lim="800000"/>
                        </a:ln>
                      </wps:spPr>
                      <wps:txbx>
                        <w:txbxContent>
                          <w:p w14:paraId="43D5D87E">
                            <w:pPr>
                              <w:rPr>
                                <w:b/>
                                <w:sz w:val="22"/>
                              </w:rPr>
                            </w:pPr>
                            <w:r>
                              <w:rPr>
                                <w:rFonts w:hint="eastAsia"/>
                                <w:b/>
                                <w:sz w:val="22"/>
                              </w:rPr>
                              <w:t>提示：请将授权代表身份证复印件（正反面）粘贴在此处，并加盖公章。</w:t>
                            </w:r>
                          </w:p>
                          <w:p w14:paraId="1A1FD639">
                            <w:pPr>
                              <w:rPr>
                                <w:b/>
                                <w:sz w:val="22"/>
                              </w:rPr>
                            </w:pPr>
                          </w:p>
                        </w:txbxContent>
                      </wps:txbx>
                      <wps:bodyPr rot="0" vert="horz" wrap="square" lIns="91440" tIns="45720" rIns="91440" bIns="45720" anchor="t" anchorCtr="0" upright="1">
                        <a:noAutofit/>
                      </wps:bodyPr>
                    </wps:wsp>
                  </a:graphicData>
                </a:graphic>
              </wp:anchor>
            </w:drawing>
          </mc:Choice>
          <mc:Fallback>
            <w:pict>
              <v:shape id="AutoShape 3" o:spid="_x0000_s1026" o:spt="176" type="#_x0000_t176" style="position:absolute;left:0pt;margin-left:36.75pt;margin-top:0pt;height:97.55pt;width:381.1pt;z-index:251660288;mso-width-relative:page;mso-height-relative:page;" fillcolor="#FFFFFF" filled="t" stroked="t" coordsize="21600,21600" o:gfxdata="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mNr32AAAAAcBAAAPAAAAAAAAAAEAIAAA&#10;ACIAAABkcnMvZG93bnJldi54bWxQSwECFAAUAAAACACHTuJAWHntnUUCAACrBAAADgAAAAAAAAAB&#10;ACAAAAAnAQAAZHJzL2Uyb0RvYy54bWxQSwUGAAAAAAYABgBZAQAA3gUAAAAA&#10;">
                <v:fill on="t" focussize="0,0"/>
                <v:stroke color="#000000" miterlimit="8" joinstyle="miter" dashstyle="dash"/>
                <v:imagedata o:title=""/>
                <o:lock v:ext="edit" aspectratio="f"/>
                <v:textbox>
                  <w:txbxContent>
                    <w:p w14:paraId="43D5D87E">
                      <w:pPr>
                        <w:rPr>
                          <w:b/>
                          <w:sz w:val="22"/>
                        </w:rPr>
                      </w:pPr>
                      <w:r>
                        <w:rPr>
                          <w:rFonts w:hint="eastAsia"/>
                          <w:b/>
                          <w:sz w:val="22"/>
                        </w:rPr>
                        <w:t>提示：请将授权代表身份证复印件（正反面）粘贴在此处，并加盖公章。</w:t>
                      </w:r>
                    </w:p>
                    <w:p w14:paraId="1A1FD639">
                      <w:pPr>
                        <w:rPr>
                          <w:b/>
                          <w:sz w:val="22"/>
                        </w:rPr>
                      </w:pPr>
                    </w:p>
                  </w:txbxContent>
                </v:textbox>
              </v:shape>
            </w:pict>
          </mc:Fallback>
        </mc:AlternateContent>
      </w:r>
    </w:p>
    <w:p w14:paraId="3947D1F5">
      <w:pPr>
        <w:pStyle w:val="9"/>
        <w:spacing w:line="360" w:lineRule="auto"/>
        <w:ind w:left="3400" w:leftChars="1619"/>
        <w:jc w:val="right"/>
        <w:rPr>
          <w:rFonts w:asciiTheme="minorEastAsia" w:hAnsiTheme="minorEastAsia" w:eastAsiaTheme="minorEastAsia"/>
          <w:sz w:val="24"/>
          <w:szCs w:val="24"/>
        </w:rPr>
      </w:pPr>
    </w:p>
    <w:p w14:paraId="644D109F">
      <w:pPr>
        <w:pStyle w:val="9"/>
        <w:spacing w:line="360" w:lineRule="auto"/>
        <w:ind w:left="3400" w:leftChars="1619"/>
        <w:jc w:val="right"/>
        <w:rPr>
          <w:rFonts w:asciiTheme="minorEastAsia" w:hAnsiTheme="minorEastAsia" w:eastAsiaTheme="minorEastAsia"/>
          <w:sz w:val="24"/>
          <w:szCs w:val="24"/>
        </w:rPr>
      </w:pPr>
    </w:p>
    <w:p w14:paraId="3B04F421">
      <w:pPr>
        <w:pStyle w:val="9"/>
        <w:spacing w:line="360" w:lineRule="auto"/>
        <w:ind w:left="3400" w:leftChars="1619"/>
        <w:jc w:val="right"/>
        <w:rPr>
          <w:rFonts w:asciiTheme="minorEastAsia" w:hAnsiTheme="minorEastAsia" w:eastAsiaTheme="minorEastAsia"/>
          <w:sz w:val="24"/>
          <w:szCs w:val="24"/>
        </w:rPr>
      </w:pPr>
    </w:p>
    <w:p w14:paraId="66134517">
      <w:pPr>
        <w:pStyle w:val="9"/>
        <w:spacing w:line="360" w:lineRule="auto"/>
        <w:ind w:left="3400" w:leftChars="1619"/>
        <w:jc w:val="right"/>
        <w:rPr>
          <w:rFonts w:asciiTheme="minorEastAsia" w:hAnsiTheme="minorEastAsia" w:eastAsiaTheme="minorEastAsia"/>
          <w:sz w:val="24"/>
          <w:szCs w:val="24"/>
        </w:rPr>
      </w:pPr>
    </w:p>
    <w:p w14:paraId="7255236A">
      <w:pPr>
        <w:pStyle w:val="9"/>
        <w:spacing w:line="460" w:lineRule="exact"/>
        <w:ind w:left="720" w:hanging="720" w:hangingChars="300"/>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说明：</w:t>
      </w:r>
    </w:p>
    <w:p w14:paraId="3CAD2425">
      <w:pPr>
        <w:pStyle w:val="9"/>
        <w:widowControl/>
        <w:numPr>
          <w:ilvl w:val="0"/>
          <w:numId w:val="17"/>
        </w:numPr>
        <w:tabs>
          <w:tab w:val="left" w:pos="360"/>
          <w:tab w:val="clear" w:pos="1264"/>
        </w:tabs>
        <w:spacing w:line="460" w:lineRule="exact"/>
        <w:ind w:hanging="1264"/>
        <w:rPr>
          <w:rFonts w:cs="仿宋_GB2312" w:asciiTheme="minorEastAsia" w:hAnsiTheme="minorEastAsia" w:eastAsiaTheme="minorEastAsia"/>
          <w:sz w:val="24"/>
          <w:szCs w:val="24"/>
          <w:lang w:val="zh-CN"/>
        </w:rPr>
      </w:pPr>
      <w:r>
        <w:rPr>
          <w:rFonts w:cs="仿宋_GB2312" w:asciiTheme="minorEastAsia" w:hAnsiTheme="minorEastAsia" w:eastAsiaTheme="minorEastAsia"/>
          <w:sz w:val="24"/>
          <w:szCs w:val="24"/>
          <w:lang w:val="zh-CN"/>
        </w:rPr>
        <w:t>法定代表人亲自签署</w:t>
      </w:r>
      <w:r>
        <w:rPr>
          <w:rFonts w:hint="eastAsia" w:cs="仿宋_GB2312" w:asciiTheme="minorEastAsia" w:hAnsiTheme="minorEastAsia" w:eastAsiaTheme="minorEastAsia"/>
          <w:sz w:val="24"/>
          <w:szCs w:val="24"/>
          <w:lang w:val="zh-CN"/>
        </w:rPr>
        <w:t>“</w:t>
      </w:r>
      <w:r>
        <w:rPr>
          <w:rFonts w:cs="仿宋_GB2312" w:asciiTheme="minorEastAsia" w:hAnsiTheme="minorEastAsia" w:eastAsiaTheme="minorEastAsia"/>
          <w:sz w:val="24"/>
          <w:szCs w:val="24"/>
          <w:lang w:val="zh-CN"/>
        </w:rPr>
        <w:t>报价函</w:t>
      </w:r>
      <w:r>
        <w:rPr>
          <w:rFonts w:hint="eastAsia" w:cs="仿宋_GB2312" w:asciiTheme="minorEastAsia" w:hAnsiTheme="minorEastAsia" w:eastAsiaTheme="minorEastAsia"/>
          <w:sz w:val="24"/>
          <w:szCs w:val="24"/>
          <w:lang w:val="zh-CN"/>
        </w:rPr>
        <w:t>”</w:t>
      </w:r>
      <w:r>
        <w:rPr>
          <w:rFonts w:cs="仿宋_GB2312" w:asciiTheme="minorEastAsia" w:hAnsiTheme="minorEastAsia" w:eastAsiaTheme="minorEastAsia"/>
          <w:sz w:val="24"/>
          <w:szCs w:val="24"/>
          <w:lang w:val="zh-CN"/>
        </w:rPr>
        <w:t>的，则无需提交本表。</w:t>
      </w:r>
    </w:p>
    <w:p w14:paraId="0D1C82E8">
      <w:pPr>
        <w:pStyle w:val="9"/>
        <w:widowControl/>
        <w:numPr>
          <w:ilvl w:val="0"/>
          <w:numId w:val="17"/>
        </w:numPr>
        <w:tabs>
          <w:tab w:val="left" w:pos="360"/>
          <w:tab w:val="clear" w:pos="1264"/>
        </w:tabs>
        <w:spacing w:line="460" w:lineRule="exact"/>
        <w:ind w:left="360" w:hanging="360"/>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w:t>
      </w:r>
      <w:r>
        <w:rPr>
          <w:rFonts w:cs="仿宋_GB2312" w:asciiTheme="minorEastAsia" w:hAnsiTheme="minorEastAsia" w:eastAsiaTheme="minorEastAsia"/>
          <w:sz w:val="24"/>
          <w:szCs w:val="24"/>
          <w:lang w:val="zh-CN"/>
        </w:rPr>
        <w:t>报价函</w:t>
      </w:r>
      <w:r>
        <w:rPr>
          <w:rFonts w:hint="eastAsia" w:cs="仿宋_GB2312" w:asciiTheme="minorEastAsia" w:hAnsiTheme="minorEastAsia" w:eastAsiaTheme="minorEastAsia"/>
          <w:sz w:val="24"/>
          <w:szCs w:val="24"/>
          <w:lang w:val="zh-CN"/>
        </w:rPr>
        <w:t>”</w:t>
      </w:r>
      <w:r>
        <w:rPr>
          <w:rFonts w:cs="仿宋_GB2312" w:asciiTheme="minorEastAsia" w:hAnsiTheme="minorEastAsia" w:eastAsiaTheme="minorEastAsia"/>
          <w:sz w:val="24"/>
          <w:szCs w:val="24"/>
          <w:lang w:val="zh-CN"/>
        </w:rPr>
        <w:t>由委托代理人签署的，</w:t>
      </w:r>
      <w:r>
        <w:rPr>
          <w:rFonts w:hint="eastAsia" w:cs="仿宋_GB2312" w:asciiTheme="minorEastAsia" w:hAnsiTheme="minorEastAsia" w:eastAsiaTheme="minorEastAsia"/>
          <w:sz w:val="24"/>
          <w:lang w:val="zh-CN"/>
        </w:rPr>
        <w:t>须提交本授权委托证明书（要有单位公章、法定代表人的亲笔签字或盖章，缺一不可）</w:t>
      </w:r>
      <w:r>
        <w:rPr>
          <w:rFonts w:cs="仿宋_GB2312" w:asciiTheme="minorEastAsia" w:hAnsiTheme="minorEastAsia" w:eastAsiaTheme="minorEastAsia"/>
          <w:sz w:val="24"/>
          <w:szCs w:val="24"/>
          <w:lang w:val="zh-CN"/>
        </w:rPr>
        <w:t>。</w:t>
      </w:r>
    </w:p>
    <w:p w14:paraId="2E623F27">
      <w:pPr>
        <w:pStyle w:val="9"/>
        <w:widowControl/>
        <w:numPr>
          <w:ilvl w:val="0"/>
          <w:numId w:val="17"/>
        </w:numPr>
        <w:tabs>
          <w:tab w:val="left" w:pos="142"/>
          <w:tab w:val="clear" w:pos="1264"/>
        </w:tabs>
        <w:spacing w:line="420" w:lineRule="exact"/>
        <w:ind w:left="-4" w:leftChars="-2" w:right="84" w:rightChars="40" w:firstLine="2"/>
        <w:rPr>
          <w:rFonts w:cs="Arial" w:asciiTheme="minorEastAsia" w:hAnsiTheme="minorEastAsia" w:eastAsiaTheme="minorEastAsia"/>
          <w:bCs/>
          <w:sz w:val="24"/>
          <w:szCs w:val="24"/>
        </w:rPr>
      </w:pPr>
      <w:r>
        <w:rPr>
          <w:rFonts w:cs="仿宋_GB2312" w:asciiTheme="minorEastAsia" w:hAnsiTheme="minorEastAsia" w:eastAsiaTheme="minorEastAsia"/>
          <w:sz w:val="24"/>
          <w:szCs w:val="24"/>
          <w:lang w:val="zh-CN"/>
        </w:rPr>
        <w:t>非法人报价的，负责人指《营业执照》上载明的负责人</w:t>
      </w:r>
      <w:r>
        <w:rPr>
          <w:rFonts w:hint="eastAsia" w:cs="仿宋_GB2312" w:asciiTheme="minorEastAsia" w:hAnsiTheme="minorEastAsia" w:eastAsiaTheme="minorEastAsia"/>
          <w:sz w:val="24"/>
          <w:szCs w:val="24"/>
          <w:lang w:val="zh-CN"/>
        </w:rPr>
        <w:t>。</w:t>
      </w:r>
    </w:p>
    <w:p w14:paraId="282F6361">
      <w:pPr>
        <w:rPr>
          <w:rFonts w:asciiTheme="minorEastAsia" w:hAnsiTheme="minorEastAsia" w:eastAsiaTheme="minorEastAsia"/>
        </w:rPr>
      </w:pPr>
    </w:p>
    <w:p w14:paraId="4A9F390B">
      <w:pPr>
        <w:rPr>
          <w:rFonts w:asciiTheme="minorEastAsia" w:hAnsiTheme="minorEastAsia" w:eastAsiaTheme="minorEastAsia"/>
        </w:rPr>
      </w:pPr>
    </w:p>
    <w:bookmarkEnd w:id="1"/>
    <w:bookmarkEnd w:id="4"/>
    <w:p w14:paraId="5D6078BF">
      <w:pPr>
        <w:spacing w:line="440" w:lineRule="exact"/>
        <w:ind w:firstLine="630" w:firstLineChars="300"/>
        <w:jc w:val="cente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D7188"/>
    <w:multiLevelType w:val="singleLevel"/>
    <w:tmpl w:val="827D7188"/>
    <w:lvl w:ilvl="0" w:tentative="0">
      <w:start w:val="1"/>
      <w:numFmt w:val="decimal"/>
      <w:suff w:val="nothing"/>
      <w:lvlText w:val="%1、"/>
      <w:lvlJc w:val="left"/>
      <w:pPr>
        <w:ind w:left="0" w:firstLine="480"/>
      </w:pPr>
      <w:rPr>
        <w:rFonts w:hint="default"/>
      </w:rPr>
    </w:lvl>
  </w:abstractNum>
  <w:abstractNum w:abstractNumId="1">
    <w:nsid w:val="89CF4004"/>
    <w:multiLevelType w:val="singleLevel"/>
    <w:tmpl w:val="89CF4004"/>
    <w:lvl w:ilvl="0" w:tentative="0">
      <w:start w:val="1"/>
      <w:numFmt w:val="decimal"/>
      <w:suff w:val="nothing"/>
      <w:lvlText w:val="%1）"/>
      <w:lvlJc w:val="left"/>
      <w:pPr>
        <w:ind w:left="0" w:firstLine="480"/>
      </w:pPr>
      <w:rPr>
        <w:rFonts w:hint="default"/>
      </w:rPr>
    </w:lvl>
  </w:abstractNum>
  <w:abstractNum w:abstractNumId="2">
    <w:nsid w:val="8F402468"/>
    <w:multiLevelType w:val="singleLevel"/>
    <w:tmpl w:val="8F402468"/>
    <w:lvl w:ilvl="0" w:tentative="0">
      <w:start w:val="1"/>
      <w:numFmt w:val="decimal"/>
      <w:suff w:val="space"/>
      <w:lvlText w:val="%1)"/>
      <w:lvlJc w:val="left"/>
      <w:pPr>
        <w:ind w:left="0" w:firstLine="480"/>
      </w:pPr>
      <w:rPr>
        <w:rFonts w:hint="default"/>
      </w:rPr>
    </w:lvl>
  </w:abstractNum>
  <w:abstractNum w:abstractNumId="3">
    <w:nsid w:val="B93AD932"/>
    <w:multiLevelType w:val="singleLevel"/>
    <w:tmpl w:val="B93AD932"/>
    <w:lvl w:ilvl="0" w:tentative="0">
      <w:start w:val="8"/>
      <w:numFmt w:val="chineseCounting"/>
      <w:suff w:val="space"/>
      <w:lvlText w:val="第%1条"/>
      <w:lvlJc w:val="left"/>
      <w:pPr>
        <w:ind w:left="0" w:firstLine="482"/>
      </w:pPr>
      <w:rPr>
        <w:rFonts w:hint="eastAsia"/>
      </w:rPr>
    </w:lvl>
  </w:abstractNum>
  <w:abstractNum w:abstractNumId="4">
    <w:nsid w:val="BD42D43D"/>
    <w:multiLevelType w:val="singleLevel"/>
    <w:tmpl w:val="BD42D43D"/>
    <w:lvl w:ilvl="0" w:tentative="0">
      <w:start w:val="25"/>
      <w:numFmt w:val="chineseCounting"/>
      <w:suff w:val="space"/>
      <w:lvlText w:val="第%1条"/>
      <w:lvlJc w:val="left"/>
      <w:pPr>
        <w:ind w:left="0" w:firstLine="482"/>
      </w:pPr>
      <w:rPr>
        <w:rFonts w:hint="eastAsia"/>
      </w:rPr>
    </w:lvl>
  </w:abstractNum>
  <w:abstractNum w:abstractNumId="5">
    <w:nsid w:val="CBF54506"/>
    <w:multiLevelType w:val="singleLevel"/>
    <w:tmpl w:val="CBF54506"/>
    <w:lvl w:ilvl="0" w:tentative="0">
      <w:start w:val="10"/>
      <w:numFmt w:val="chineseCounting"/>
      <w:suff w:val="space"/>
      <w:lvlText w:val="第%1条"/>
      <w:lvlJc w:val="left"/>
      <w:pPr>
        <w:ind w:left="0" w:firstLine="482"/>
      </w:pPr>
      <w:rPr>
        <w:rFonts w:hint="eastAsia"/>
      </w:rPr>
    </w:lvl>
  </w:abstractNum>
  <w:abstractNum w:abstractNumId="6">
    <w:nsid w:val="E86F3CD4"/>
    <w:multiLevelType w:val="singleLevel"/>
    <w:tmpl w:val="E86F3CD4"/>
    <w:lvl w:ilvl="0" w:tentative="0">
      <w:start w:val="1"/>
      <w:numFmt w:val="decimal"/>
      <w:suff w:val="space"/>
      <w:lvlText w:val="%1)"/>
      <w:lvlJc w:val="left"/>
      <w:pPr>
        <w:ind w:left="0" w:firstLine="480"/>
      </w:pPr>
      <w:rPr>
        <w:rFonts w:hint="default"/>
      </w:rPr>
    </w:lvl>
  </w:abstractNum>
  <w:abstractNum w:abstractNumId="7">
    <w:nsid w:val="EAEE8237"/>
    <w:multiLevelType w:val="singleLevel"/>
    <w:tmpl w:val="EAEE8237"/>
    <w:lvl w:ilvl="0" w:tentative="0">
      <w:start w:val="1"/>
      <w:numFmt w:val="chineseCounting"/>
      <w:suff w:val="nothing"/>
      <w:lvlText w:val="（%1）"/>
      <w:lvlJc w:val="left"/>
      <w:pPr>
        <w:ind w:left="0" w:firstLine="480"/>
      </w:pPr>
      <w:rPr>
        <w:rFonts w:hint="eastAsia"/>
      </w:rPr>
    </w:lvl>
  </w:abstractNum>
  <w:abstractNum w:abstractNumId="8">
    <w:nsid w:val="028BD12B"/>
    <w:multiLevelType w:val="singleLevel"/>
    <w:tmpl w:val="028BD12B"/>
    <w:lvl w:ilvl="0" w:tentative="0">
      <w:start w:val="4"/>
      <w:numFmt w:val="chineseCounting"/>
      <w:suff w:val="space"/>
      <w:lvlText w:val="第%1条"/>
      <w:lvlJc w:val="left"/>
      <w:pPr>
        <w:ind w:left="0" w:firstLine="482"/>
      </w:pPr>
      <w:rPr>
        <w:rFonts w:hint="eastAsia"/>
      </w:rPr>
    </w:lvl>
  </w:abstractNum>
  <w:abstractNum w:abstractNumId="9">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B724D1A"/>
    <w:multiLevelType w:val="singleLevel"/>
    <w:tmpl w:val="2B724D1A"/>
    <w:lvl w:ilvl="0" w:tentative="0">
      <w:start w:val="1"/>
      <w:numFmt w:val="decimal"/>
      <w:suff w:val="space"/>
      <w:lvlText w:val="%1."/>
      <w:lvlJc w:val="left"/>
      <w:pPr>
        <w:ind w:left="0" w:firstLine="480"/>
      </w:pPr>
      <w:rPr>
        <w:rFonts w:hint="default"/>
      </w:rPr>
    </w:lvl>
  </w:abstractNum>
  <w:abstractNum w:abstractNumId="11">
    <w:nsid w:val="421E760A"/>
    <w:multiLevelType w:val="singleLevel"/>
    <w:tmpl w:val="421E760A"/>
    <w:lvl w:ilvl="0" w:tentative="0">
      <w:start w:val="27"/>
      <w:numFmt w:val="chineseCounting"/>
      <w:suff w:val="space"/>
      <w:lvlText w:val="第%1条"/>
      <w:lvlJc w:val="left"/>
      <w:pPr>
        <w:ind w:left="0" w:firstLine="482"/>
      </w:pPr>
      <w:rPr>
        <w:rFonts w:hint="eastAsia"/>
      </w:rPr>
    </w:lvl>
  </w:abstractNum>
  <w:abstractNum w:abstractNumId="12">
    <w:nsid w:val="55A96892"/>
    <w:multiLevelType w:val="singleLevel"/>
    <w:tmpl w:val="55A96892"/>
    <w:lvl w:ilvl="0" w:tentative="0">
      <w:start w:val="17"/>
      <w:numFmt w:val="chineseCounting"/>
      <w:suff w:val="space"/>
      <w:lvlText w:val="第%1条"/>
      <w:lvlJc w:val="left"/>
      <w:pPr>
        <w:ind w:left="0" w:firstLine="482"/>
      </w:pPr>
      <w:rPr>
        <w:rFonts w:hint="eastAsia"/>
      </w:rPr>
    </w:lvl>
  </w:abstractNum>
  <w:abstractNum w:abstractNumId="13">
    <w:nsid w:val="68132F98"/>
    <w:multiLevelType w:val="singleLevel"/>
    <w:tmpl w:val="68132F98"/>
    <w:lvl w:ilvl="0" w:tentative="0">
      <w:start w:val="23"/>
      <w:numFmt w:val="chineseCounting"/>
      <w:suff w:val="space"/>
      <w:lvlText w:val="第%1条"/>
      <w:lvlJc w:val="left"/>
      <w:pPr>
        <w:ind w:left="0" w:firstLine="482"/>
      </w:pPr>
      <w:rPr>
        <w:rFonts w:hint="eastAsia"/>
      </w:rPr>
    </w:lvl>
  </w:abstractNum>
  <w:abstractNum w:abstractNumId="14">
    <w:nsid w:val="6E6F60EC"/>
    <w:multiLevelType w:val="multilevel"/>
    <w:tmpl w:val="6E6F60EC"/>
    <w:lvl w:ilvl="0" w:tentative="0">
      <w:start w:val="1"/>
      <w:numFmt w:val="decimal"/>
      <w:pStyle w:val="46"/>
      <w:lvlText w:val="%1"/>
      <w:lvlJc w:val="left"/>
      <w:pPr>
        <w:ind w:left="432" w:hanging="432"/>
      </w:pPr>
    </w:lvl>
    <w:lvl w:ilvl="1" w:tentative="0">
      <w:start w:val="1"/>
      <w:numFmt w:val="decimal"/>
      <w:pStyle w:val="47"/>
      <w:lvlText w:val="%1.%2"/>
      <w:lvlJc w:val="left"/>
      <w:pPr>
        <w:ind w:left="576" w:hanging="576"/>
      </w:pPr>
    </w:lvl>
    <w:lvl w:ilvl="2" w:tentative="0">
      <w:start w:val="1"/>
      <w:numFmt w:val="decimal"/>
      <w:pStyle w:val="45"/>
      <w:lvlText w:val="%1.%2.%3"/>
      <w:lvlJc w:val="left"/>
      <w:pPr>
        <w:ind w:left="720" w:hanging="720"/>
      </w:pPr>
    </w:lvl>
    <w:lvl w:ilvl="3" w:tentative="0">
      <w:start w:val="1"/>
      <w:numFmt w:val="decimal"/>
      <w:pStyle w:val="48"/>
      <w:lvlText w:val="%1.%2.%3.%4"/>
      <w:lvlJc w:val="left"/>
      <w:pPr>
        <w:ind w:left="864" w:hanging="864"/>
      </w:pPr>
    </w:lvl>
    <w:lvl w:ilvl="4" w:tentative="0">
      <w:start w:val="1"/>
      <w:numFmt w:val="decimal"/>
      <w:pStyle w:val="49"/>
      <w:lvlText w:val="%1.%2.%3.%4.%5"/>
      <w:lvlJc w:val="left"/>
      <w:pPr>
        <w:ind w:left="1008" w:hanging="1008"/>
      </w:pPr>
    </w:lvl>
    <w:lvl w:ilvl="5" w:tentative="0">
      <w:start w:val="1"/>
      <w:numFmt w:val="decimal"/>
      <w:pStyle w:val="50"/>
      <w:lvlText w:val="%1.%2.%3.%4.%5.%6"/>
      <w:lvlJc w:val="left"/>
      <w:pPr>
        <w:ind w:left="1152" w:hanging="1152"/>
      </w:pPr>
    </w:lvl>
    <w:lvl w:ilvl="6" w:tentative="0">
      <w:start w:val="1"/>
      <w:numFmt w:val="decimal"/>
      <w:pStyle w:val="51"/>
      <w:lvlText w:val="%1.%2.%3.%4.%5.%6.%7"/>
      <w:lvlJc w:val="left"/>
      <w:pPr>
        <w:ind w:left="1296" w:hanging="1296"/>
      </w:pPr>
    </w:lvl>
    <w:lvl w:ilvl="7" w:tentative="0">
      <w:start w:val="1"/>
      <w:numFmt w:val="decimal"/>
      <w:pStyle w:val="52"/>
      <w:lvlText w:val="%1.%2.%3.%4.%5.%6.%7.%8"/>
      <w:lvlJc w:val="left"/>
      <w:pPr>
        <w:ind w:left="1440" w:hanging="1440"/>
      </w:pPr>
    </w:lvl>
    <w:lvl w:ilvl="8" w:tentative="0">
      <w:start w:val="1"/>
      <w:numFmt w:val="decimal"/>
      <w:pStyle w:val="53"/>
      <w:lvlText w:val="%1.%2.%3.%4.%5.%6.%7.%8.%9"/>
      <w:lvlJc w:val="left"/>
      <w:pPr>
        <w:ind w:left="1584" w:hanging="1584"/>
      </w:pPr>
    </w:lvl>
  </w:abstractNum>
  <w:abstractNum w:abstractNumId="15">
    <w:nsid w:val="6FAA7BB1"/>
    <w:multiLevelType w:val="singleLevel"/>
    <w:tmpl w:val="6FAA7BB1"/>
    <w:lvl w:ilvl="0" w:tentative="0">
      <w:start w:val="1"/>
      <w:numFmt w:val="decimal"/>
      <w:suff w:val="nothing"/>
      <w:lvlText w:val="（%1）"/>
      <w:lvlJc w:val="left"/>
      <w:pPr>
        <w:ind w:left="0" w:firstLine="480"/>
      </w:pPr>
      <w:rPr>
        <w:rFonts w:hint="default"/>
      </w:rPr>
    </w:lvl>
  </w:abstractNum>
  <w:abstractNum w:abstractNumId="16">
    <w:nsid w:val="77ECB35E"/>
    <w:multiLevelType w:val="singleLevel"/>
    <w:tmpl w:val="77ECB35E"/>
    <w:lvl w:ilvl="0" w:tentative="0">
      <w:start w:val="1"/>
      <w:numFmt w:val="chineseCounting"/>
      <w:suff w:val="nothing"/>
      <w:lvlText w:val="%1、"/>
      <w:lvlJc w:val="left"/>
      <w:pPr>
        <w:ind w:left="0" w:firstLine="0"/>
      </w:pPr>
      <w:rPr>
        <w:rFonts w:hint="eastAsia"/>
      </w:rPr>
    </w:lvl>
  </w:abstractNum>
  <w:num w:numId="1">
    <w:abstractNumId w:val="14"/>
  </w:num>
  <w:num w:numId="2">
    <w:abstractNumId w:val="2"/>
  </w:num>
  <w:num w:numId="3">
    <w:abstractNumId w:val="6"/>
  </w:num>
  <w:num w:numId="4">
    <w:abstractNumId w:val="15"/>
  </w:num>
  <w:num w:numId="5">
    <w:abstractNumId w:val="1"/>
  </w:num>
  <w:num w:numId="6">
    <w:abstractNumId w:val="0"/>
  </w:num>
  <w:num w:numId="7">
    <w:abstractNumId w:val="16"/>
  </w:num>
  <w:num w:numId="8">
    <w:abstractNumId w:val="7"/>
  </w:num>
  <w:num w:numId="9">
    <w:abstractNumId w:val="8"/>
  </w:num>
  <w:num w:numId="10">
    <w:abstractNumId w:val="3"/>
  </w:num>
  <w:num w:numId="11">
    <w:abstractNumId w:val="5"/>
  </w:num>
  <w:num w:numId="12">
    <w:abstractNumId w:val="12"/>
  </w:num>
  <w:num w:numId="13">
    <w:abstractNumId w:val="13"/>
  </w:num>
  <w:num w:numId="14">
    <w:abstractNumId w:val="4"/>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lYjBhYTIyY2I0MjQwYjU4ZDBhMDU3YzQ1NWM0ODIifQ=="/>
  </w:docVars>
  <w:rsids>
    <w:rsidRoot w:val="001D24DF"/>
    <w:rsid w:val="00000B69"/>
    <w:rsid w:val="0000340F"/>
    <w:rsid w:val="00011E90"/>
    <w:rsid w:val="000326F2"/>
    <w:rsid w:val="000327ED"/>
    <w:rsid w:val="000575C0"/>
    <w:rsid w:val="00057619"/>
    <w:rsid w:val="00062EE9"/>
    <w:rsid w:val="00096213"/>
    <w:rsid w:val="000B04FE"/>
    <w:rsid w:val="000B30F8"/>
    <w:rsid w:val="000B4143"/>
    <w:rsid w:val="000B7C04"/>
    <w:rsid w:val="000C4DB8"/>
    <w:rsid w:val="000D2C82"/>
    <w:rsid w:val="000D660E"/>
    <w:rsid w:val="000E2397"/>
    <w:rsid w:val="00101A87"/>
    <w:rsid w:val="001173D2"/>
    <w:rsid w:val="00124FD1"/>
    <w:rsid w:val="00135E3D"/>
    <w:rsid w:val="00146039"/>
    <w:rsid w:val="00164454"/>
    <w:rsid w:val="00182E79"/>
    <w:rsid w:val="0019097D"/>
    <w:rsid w:val="001936FC"/>
    <w:rsid w:val="001950FE"/>
    <w:rsid w:val="001A6F69"/>
    <w:rsid w:val="001B53AA"/>
    <w:rsid w:val="001B6E72"/>
    <w:rsid w:val="001D24DF"/>
    <w:rsid w:val="001D2F06"/>
    <w:rsid w:val="001D39D6"/>
    <w:rsid w:val="001E0F5D"/>
    <w:rsid w:val="001E107E"/>
    <w:rsid w:val="001E19F2"/>
    <w:rsid w:val="001E30E3"/>
    <w:rsid w:val="001E653B"/>
    <w:rsid w:val="001E7AB2"/>
    <w:rsid w:val="001F27F1"/>
    <w:rsid w:val="00205F21"/>
    <w:rsid w:val="00211ABB"/>
    <w:rsid w:val="00212281"/>
    <w:rsid w:val="00220D4F"/>
    <w:rsid w:val="00224B2C"/>
    <w:rsid w:val="002308A4"/>
    <w:rsid w:val="00234F45"/>
    <w:rsid w:val="002446A8"/>
    <w:rsid w:val="00264EF7"/>
    <w:rsid w:val="00271E5A"/>
    <w:rsid w:val="002720D3"/>
    <w:rsid w:val="002806FD"/>
    <w:rsid w:val="00287080"/>
    <w:rsid w:val="00290619"/>
    <w:rsid w:val="00290670"/>
    <w:rsid w:val="002A0005"/>
    <w:rsid w:val="002B2751"/>
    <w:rsid w:val="002B5204"/>
    <w:rsid w:val="002B58EC"/>
    <w:rsid w:val="002B66EB"/>
    <w:rsid w:val="002C1C83"/>
    <w:rsid w:val="002C65F0"/>
    <w:rsid w:val="002D5D73"/>
    <w:rsid w:val="002D6F89"/>
    <w:rsid w:val="002D70DF"/>
    <w:rsid w:val="002F03BA"/>
    <w:rsid w:val="002F25F1"/>
    <w:rsid w:val="002F6317"/>
    <w:rsid w:val="0030698B"/>
    <w:rsid w:val="00317515"/>
    <w:rsid w:val="00340777"/>
    <w:rsid w:val="00343E24"/>
    <w:rsid w:val="003502BD"/>
    <w:rsid w:val="00351F14"/>
    <w:rsid w:val="0036070A"/>
    <w:rsid w:val="003840C5"/>
    <w:rsid w:val="00384F7D"/>
    <w:rsid w:val="00387D4B"/>
    <w:rsid w:val="003918B9"/>
    <w:rsid w:val="00395CD3"/>
    <w:rsid w:val="00397379"/>
    <w:rsid w:val="003B67FC"/>
    <w:rsid w:val="003C1C26"/>
    <w:rsid w:val="003D409C"/>
    <w:rsid w:val="003E0CEF"/>
    <w:rsid w:val="003E3260"/>
    <w:rsid w:val="003E67B6"/>
    <w:rsid w:val="003E79B5"/>
    <w:rsid w:val="003F51F8"/>
    <w:rsid w:val="003F6EE6"/>
    <w:rsid w:val="004226F1"/>
    <w:rsid w:val="00436FF6"/>
    <w:rsid w:val="00450B07"/>
    <w:rsid w:val="00451C03"/>
    <w:rsid w:val="00460AB7"/>
    <w:rsid w:val="00481694"/>
    <w:rsid w:val="00481ADB"/>
    <w:rsid w:val="0049238D"/>
    <w:rsid w:val="0049403F"/>
    <w:rsid w:val="00494482"/>
    <w:rsid w:val="004948B3"/>
    <w:rsid w:val="004A519D"/>
    <w:rsid w:val="004B2479"/>
    <w:rsid w:val="004B3395"/>
    <w:rsid w:val="004B5ED2"/>
    <w:rsid w:val="004C705B"/>
    <w:rsid w:val="004C7CCC"/>
    <w:rsid w:val="004D3104"/>
    <w:rsid w:val="004F788D"/>
    <w:rsid w:val="00504A30"/>
    <w:rsid w:val="00517B2B"/>
    <w:rsid w:val="00524ADE"/>
    <w:rsid w:val="00545A5D"/>
    <w:rsid w:val="0055721B"/>
    <w:rsid w:val="00570D2E"/>
    <w:rsid w:val="00577070"/>
    <w:rsid w:val="00583D7B"/>
    <w:rsid w:val="0058612D"/>
    <w:rsid w:val="0059347A"/>
    <w:rsid w:val="00596F1E"/>
    <w:rsid w:val="005B1228"/>
    <w:rsid w:val="005B3638"/>
    <w:rsid w:val="005B7FFB"/>
    <w:rsid w:val="005C2C7B"/>
    <w:rsid w:val="005D0037"/>
    <w:rsid w:val="005D29F7"/>
    <w:rsid w:val="005E09D3"/>
    <w:rsid w:val="005E481D"/>
    <w:rsid w:val="005E7EF1"/>
    <w:rsid w:val="005F30C4"/>
    <w:rsid w:val="005F4AFE"/>
    <w:rsid w:val="005F6349"/>
    <w:rsid w:val="005F764D"/>
    <w:rsid w:val="00604D46"/>
    <w:rsid w:val="00614656"/>
    <w:rsid w:val="00624F72"/>
    <w:rsid w:val="00664D36"/>
    <w:rsid w:val="00671CB4"/>
    <w:rsid w:val="0068586A"/>
    <w:rsid w:val="006B09E0"/>
    <w:rsid w:val="006B48DC"/>
    <w:rsid w:val="006C3D21"/>
    <w:rsid w:val="006E27FA"/>
    <w:rsid w:val="006E3212"/>
    <w:rsid w:val="006E371A"/>
    <w:rsid w:val="006F031F"/>
    <w:rsid w:val="006F0B74"/>
    <w:rsid w:val="006F17D8"/>
    <w:rsid w:val="007040E2"/>
    <w:rsid w:val="00706D0F"/>
    <w:rsid w:val="007122FD"/>
    <w:rsid w:val="00716287"/>
    <w:rsid w:val="00723C76"/>
    <w:rsid w:val="007322DE"/>
    <w:rsid w:val="00734263"/>
    <w:rsid w:val="00737CB9"/>
    <w:rsid w:val="00745FFD"/>
    <w:rsid w:val="00746BFB"/>
    <w:rsid w:val="0075181F"/>
    <w:rsid w:val="0076252E"/>
    <w:rsid w:val="00766DFD"/>
    <w:rsid w:val="0077128D"/>
    <w:rsid w:val="007731FF"/>
    <w:rsid w:val="00776BB0"/>
    <w:rsid w:val="00781C10"/>
    <w:rsid w:val="007830C2"/>
    <w:rsid w:val="00784736"/>
    <w:rsid w:val="007913A5"/>
    <w:rsid w:val="007A159D"/>
    <w:rsid w:val="007A2B0C"/>
    <w:rsid w:val="007A6EBF"/>
    <w:rsid w:val="007D2335"/>
    <w:rsid w:val="007D7DD5"/>
    <w:rsid w:val="007E259D"/>
    <w:rsid w:val="007F0F0E"/>
    <w:rsid w:val="007F3628"/>
    <w:rsid w:val="0080196F"/>
    <w:rsid w:val="00803AC4"/>
    <w:rsid w:val="00804407"/>
    <w:rsid w:val="0081514F"/>
    <w:rsid w:val="00840510"/>
    <w:rsid w:val="00841115"/>
    <w:rsid w:val="008459A2"/>
    <w:rsid w:val="0087190E"/>
    <w:rsid w:val="008774E5"/>
    <w:rsid w:val="00882ADE"/>
    <w:rsid w:val="008923CA"/>
    <w:rsid w:val="008A0BA9"/>
    <w:rsid w:val="008A7AA9"/>
    <w:rsid w:val="008E2116"/>
    <w:rsid w:val="008E2ACF"/>
    <w:rsid w:val="008E3A80"/>
    <w:rsid w:val="008F08AF"/>
    <w:rsid w:val="008F3C63"/>
    <w:rsid w:val="008F76A7"/>
    <w:rsid w:val="00904866"/>
    <w:rsid w:val="00906228"/>
    <w:rsid w:val="009224B2"/>
    <w:rsid w:val="00926F89"/>
    <w:rsid w:val="009310AB"/>
    <w:rsid w:val="009602B2"/>
    <w:rsid w:val="00966D01"/>
    <w:rsid w:val="00974ECF"/>
    <w:rsid w:val="0098076B"/>
    <w:rsid w:val="00985843"/>
    <w:rsid w:val="009863B3"/>
    <w:rsid w:val="009A0DF7"/>
    <w:rsid w:val="009A6549"/>
    <w:rsid w:val="009B0F31"/>
    <w:rsid w:val="009C673C"/>
    <w:rsid w:val="009E4D3D"/>
    <w:rsid w:val="00A02A73"/>
    <w:rsid w:val="00A05DFD"/>
    <w:rsid w:val="00A06B33"/>
    <w:rsid w:val="00A10733"/>
    <w:rsid w:val="00A10DF9"/>
    <w:rsid w:val="00A16F8C"/>
    <w:rsid w:val="00A17AFE"/>
    <w:rsid w:val="00A21E50"/>
    <w:rsid w:val="00A3172B"/>
    <w:rsid w:val="00A64E4C"/>
    <w:rsid w:val="00A76612"/>
    <w:rsid w:val="00A836EB"/>
    <w:rsid w:val="00A92854"/>
    <w:rsid w:val="00A959C3"/>
    <w:rsid w:val="00AA6F55"/>
    <w:rsid w:val="00AB11C0"/>
    <w:rsid w:val="00AB17E8"/>
    <w:rsid w:val="00AB273A"/>
    <w:rsid w:val="00AB5FAE"/>
    <w:rsid w:val="00AB6898"/>
    <w:rsid w:val="00AD6A85"/>
    <w:rsid w:val="00AE2FDD"/>
    <w:rsid w:val="00B0400F"/>
    <w:rsid w:val="00B067C1"/>
    <w:rsid w:val="00B10DA9"/>
    <w:rsid w:val="00B50511"/>
    <w:rsid w:val="00B54E48"/>
    <w:rsid w:val="00B64D1F"/>
    <w:rsid w:val="00B740D4"/>
    <w:rsid w:val="00B82DEB"/>
    <w:rsid w:val="00B91214"/>
    <w:rsid w:val="00BA2A84"/>
    <w:rsid w:val="00BC3824"/>
    <w:rsid w:val="00BC5FF4"/>
    <w:rsid w:val="00BE5CC1"/>
    <w:rsid w:val="00C012D6"/>
    <w:rsid w:val="00C04528"/>
    <w:rsid w:val="00C259CF"/>
    <w:rsid w:val="00C30A87"/>
    <w:rsid w:val="00C37DDE"/>
    <w:rsid w:val="00C513BE"/>
    <w:rsid w:val="00C552ED"/>
    <w:rsid w:val="00C57510"/>
    <w:rsid w:val="00C67BE8"/>
    <w:rsid w:val="00C73762"/>
    <w:rsid w:val="00C77357"/>
    <w:rsid w:val="00C8194E"/>
    <w:rsid w:val="00C85B62"/>
    <w:rsid w:val="00C876C1"/>
    <w:rsid w:val="00CA26ED"/>
    <w:rsid w:val="00CB4CF7"/>
    <w:rsid w:val="00CB549C"/>
    <w:rsid w:val="00CC0653"/>
    <w:rsid w:val="00CC1DBF"/>
    <w:rsid w:val="00CC2699"/>
    <w:rsid w:val="00CD247F"/>
    <w:rsid w:val="00CE6F62"/>
    <w:rsid w:val="00CF55C7"/>
    <w:rsid w:val="00D01B1B"/>
    <w:rsid w:val="00D06278"/>
    <w:rsid w:val="00D0713A"/>
    <w:rsid w:val="00D15236"/>
    <w:rsid w:val="00D161E4"/>
    <w:rsid w:val="00D22B5E"/>
    <w:rsid w:val="00D45EA8"/>
    <w:rsid w:val="00D6329A"/>
    <w:rsid w:val="00D63CB7"/>
    <w:rsid w:val="00D7013E"/>
    <w:rsid w:val="00DB0581"/>
    <w:rsid w:val="00DB5FA2"/>
    <w:rsid w:val="00DB7A1D"/>
    <w:rsid w:val="00DC1963"/>
    <w:rsid w:val="00DD6A16"/>
    <w:rsid w:val="00DD6E92"/>
    <w:rsid w:val="00DE2E75"/>
    <w:rsid w:val="00DF0ABE"/>
    <w:rsid w:val="00E04B27"/>
    <w:rsid w:val="00E12D61"/>
    <w:rsid w:val="00E1413A"/>
    <w:rsid w:val="00E20821"/>
    <w:rsid w:val="00E24ABA"/>
    <w:rsid w:val="00E31A20"/>
    <w:rsid w:val="00E32C11"/>
    <w:rsid w:val="00E4166A"/>
    <w:rsid w:val="00E43471"/>
    <w:rsid w:val="00E46A08"/>
    <w:rsid w:val="00E50D3D"/>
    <w:rsid w:val="00E51FEF"/>
    <w:rsid w:val="00E752A8"/>
    <w:rsid w:val="00E96506"/>
    <w:rsid w:val="00EA289A"/>
    <w:rsid w:val="00EA3385"/>
    <w:rsid w:val="00EB58A4"/>
    <w:rsid w:val="00EC1B34"/>
    <w:rsid w:val="00ED2D31"/>
    <w:rsid w:val="00EE6B14"/>
    <w:rsid w:val="00EF2464"/>
    <w:rsid w:val="00F00F60"/>
    <w:rsid w:val="00F10055"/>
    <w:rsid w:val="00F12D7E"/>
    <w:rsid w:val="00F251A8"/>
    <w:rsid w:val="00F260C2"/>
    <w:rsid w:val="00F3708F"/>
    <w:rsid w:val="00F50B33"/>
    <w:rsid w:val="00F57193"/>
    <w:rsid w:val="00F609D1"/>
    <w:rsid w:val="00F63577"/>
    <w:rsid w:val="00F73064"/>
    <w:rsid w:val="00F73DC4"/>
    <w:rsid w:val="00F80CFD"/>
    <w:rsid w:val="00F82215"/>
    <w:rsid w:val="00F91D7C"/>
    <w:rsid w:val="00FC093C"/>
    <w:rsid w:val="00FC5B62"/>
    <w:rsid w:val="00FD3A87"/>
    <w:rsid w:val="00FE1344"/>
    <w:rsid w:val="00FE5FDE"/>
    <w:rsid w:val="00FE7E51"/>
    <w:rsid w:val="00FF074A"/>
    <w:rsid w:val="0147778C"/>
    <w:rsid w:val="02263D64"/>
    <w:rsid w:val="03B73198"/>
    <w:rsid w:val="04CA6275"/>
    <w:rsid w:val="0E0152B0"/>
    <w:rsid w:val="1BE85CCD"/>
    <w:rsid w:val="20ED5A1C"/>
    <w:rsid w:val="21CC0089"/>
    <w:rsid w:val="2479098E"/>
    <w:rsid w:val="27BA3C05"/>
    <w:rsid w:val="29A25D9B"/>
    <w:rsid w:val="2FDB1314"/>
    <w:rsid w:val="3012212E"/>
    <w:rsid w:val="34951ECC"/>
    <w:rsid w:val="354D2F7F"/>
    <w:rsid w:val="38483174"/>
    <w:rsid w:val="392805A0"/>
    <w:rsid w:val="39827ED6"/>
    <w:rsid w:val="3BFA55F7"/>
    <w:rsid w:val="48FF38AC"/>
    <w:rsid w:val="49057A42"/>
    <w:rsid w:val="49420258"/>
    <w:rsid w:val="4E7D5AD9"/>
    <w:rsid w:val="5662462F"/>
    <w:rsid w:val="57676E8F"/>
    <w:rsid w:val="584B128F"/>
    <w:rsid w:val="5AB37B17"/>
    <w:rsid w:val="5D276C9F"/>
    <w:rsid w:val="5D723AB7"/>
    <w:rsid w:val="5F672F3E"/>
    <w:rsid w:val="63163A3E"/>
    <w:rsid w:val="666E3B0D"/>
    <w:rsid w:val="67D01FC8"/>
    <w:rsid w:val="683F6D2F"/>
    <w:rsid w:val="6B9A69FA"/>
    <w:rsid w:val="6C3C4515"/>
    <w:rsid w:val="71B32AC4"/>
    <w:rsid w:val="7A2F58BA"/>
    <w:rsid w:val="7D9F7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微软雅黑" w:hAnsi="微软雅黑" w:eastAsia="微软雅黑"/>
      <w:b/>
      <w:bCs/>
      <w:kern w:val="44"/>
      <w:sz w:val="44"/>
      <w:szCs w:val="44"/>
    </w:rPr>
  </w:style>
  <w:style w:type="paragraph" w:styleId="3">
    <w:name w:val="heading 2"/>
    <w:basedOn w:val="1"/>
    <w:next w:val="1"/>
    <w:link w:val="24"/>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25"/>
    <w:qFormat/>
    <w:uiPriority w:val="0"/>
    <w:pPr>
      <w:keepNext/>
      <w:keepLines/>
      <w:spacing w:before="260" w:after="260" w:line="416" w:lineRule="auto"/>
      <w:outlineLvl w:val="2"/>
    </w:pPr>
    <w:rPr>
      <w:rFonts w:ascii="微软雅黑" w:hAnsi="微软雅黑" w:eastAsia="微软雅黑"/>
      <w:b/>
      <w:bCs/>
      <w:sz w:val="32"/>
      <w:szCs w:val="32"/>
    </w:rPr>
  </w:style>
  <w:style w:type="paragraph" w:styleId="5">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20"/>
    <w:autoRedefine/>
    <w:qFormat/>
    <w:uiPriority w:val="0"/>
    <w:pPr>
      <w:widowControl/>
      <w:ind w:firstLine="420"/>
      <w:jc w:val="left"/>
    </w:pPr>
    <w:rPr>
      <w:kern w:val="0"/>
      <w:szCs w:val="20"/>
    </w:rPr>
  </w:style>
  <w:style w:type="paragraph" w:styleId="7">
    <w:name w:val="Document Map"/>
    <w:basedOn w:val="1"/>
    <w:link w:val="35"/>
    <w:autoRedefine/>
    <w:semiHidden/>
    <w:unhideWhenUsed/>
    <w:qFormat/>
    <w:uiPriority w:val="99"/>
    <w:rPr>
      <w:rFonts w:ascii="宋体"/>
      <w:sz w:val="18"/>
      <w:szCs w:val="18"/>
    </w:rPr>
  </w:style>
  <w:style w:type="paragraph" w:styleId="8">
    <w:name w:val="Body Text"/>
    <w:qFormat/>
    <w:uiPriority w:val="0"/>
    <w:pPr>
      <w:widowControl w:val="0"/>
      <w:spacing w:after="120" w:line="300" w:lineRule="auto"/>
      <w:ind w:firstLine="420" w:firstLineChars="200"/>
    </w:pPr>
    <w:rPr>
      <w:rFonts w:ascii="Times New Roman" w:hAnsi="Times New Roman" w:eastAsia="宋体" w:cs="Times New Roman"/>
      <w:sz w:val="24"/>
      <w:lang w:val="en-US" w:eastAsia="zh-CN" w:bidi="ar-SA"/>
    </w:rPr>
  </w:style>
  <w:style w:type="paragraph" w:styleId="9">
    <w:name w:val="Plain Text"/>
    <w:basedOn w:val="1"/>
    <w:link w:val="19"/>
    <w:autoRedefine/>
    <w:qFormat/>
    <w:uiPriority w:val="0"/>
    <w:rPr>
      <w:rFonts w:ascii="宋体" w:hAnsi="Courier New" w:cs="Courier New"/>
      <w:szCs w:val="21"/>
    </w:rPr>
  </w:style>
  <w:style w:type="paragraph" w:styleId="10">
    <w:name w:val="Date"/>
    <w:basedOn w:val="1"/>
    <w:next w:val="1"/>
    <w:link w:val="21"/>
    <w:autoRedefine/>
    <w:qFormat/>
    <w:uiPriority w:val="0"/>
    <w:rPr>
      <w:rFonts w:ascii="楷体_GB2312" w:eastAsia="楷体_GB2312"/>
      <w:sz w:val="28"/>
      <w:szCs w:val="20"/>
    </w:r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18"/>
    <w:autoRedefine/>
    <w:unhideWhenUsed/>
    <w:qFormat/>
    <w:uiPriority w:val="99"/>
    <w:pPr>
      <w:tabs>
        <w:tab w:val="center" w:pos="4153"/>
        <w:tab w:val="right" w:pos="8306"/>
      </w:tabs>
      <w:snapToGrid w:val="0"/>
      <w:jc w:val="left"/>
    </w:pPr>
    <w:rPr>
      <w:sz w:val="18"/>
      <w:szCs w:val="18"/>
    </w:rPr>
  </w:style>
  <w:style w:type="paragraph" w:styleId="13">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customStyle="1" w:styleId="17">
    <w:name w:val="页眉 字符"/>
    <w:basedOn w:val="16"/>
    <w:link w:val="13"/>
    <w:autoRedefine/>
    <w:qFormat/>
    <w:uiPriority w:val="99"/>
    <w:rPr>
      <w:rFonts w:ascii="Times New Roman" w:hAnsi="Times New Roman" w:eastAsia="宋体" w:cs="Times New Roman"/>
      <w:sz w:val="18"/>
      <w:szCs w:val="18"/>
    </w:rPr>
  </w:style>
  <w:style w:type="character" w:customStyle="1" w:styleId="18">
    <w:name w:val="页脚 字符"/>
    <w:basedOn w:val="16"/>
    <w:link w:val="12"/>
    <w:autoRedefine/>
    <w:qFormat/>
    <w:uiPriority w:val="99"/>
    <w:rPr>
      <w:rFonts w:ascii="Times New Roman" w:hAnsi="Times New Roman" w:eastAsia="宋体" w:cs="Times New Roman"/>
      <w:sz w:val="18"/>
      <w:szCs w:val="18"/>
    </w:rPr>
  </w:style>
  <w:style w:type="character" w:customStyle="1" w:styleId="19">
    <w:name w:val="纯文本 字符"/>
    <w:basedOn w:val="16"/>
    <w:link w:val="9"/>
    <w:autoRedefine/>
    <w:qFormat/>
    <w:uiPriority w:val="0"/>
    <w:rPr>
      <w:rFonts w:ascii="宋体" w:hAnsi="Courier New" w:eastAsia="宋体" w:cs="Courier New"/>
      <w:szCs w:val="21"/>
    </w:rPr>
  </w:style>
  <w:style w:type="character" w:customStyle="1" w:styleId="20">
    <w:name w:val="正文缩进 字符"/>
    <w:link w:val="6"/>
    <w:autoRedefine/>
    <w:qFormat/>
    <w:uiPriority w:val="0"/>
    <w:rPr>
      <w:rFonts w:ascii="Times New Roman" w:hAnsi="Times New Roman" w:eastAsia="宋体" w:cs="Times New Roman"/>
      <w:kern w:val="0"/>
      <w:szCs w:val="20"/>
    </w:rPr>
  </w:style>
  <w:style w:type="character" w:customStyle="1" w:styleId="21">
    <w:name w:val="日期 字符"/>
    <w:basedOn w:val="16"/>
    <w:link w:val="10"/>
    <w:autoRedefine/>
    <w:qFormat/>
    <w:uiPriority w:val="0"/>
    <w:rPr>
      <w:rFonts w:ascii="楷体_GB2312" w:hAnsi="Times New Roman" w:eastAsia="楷体_GB2312" w:cs="Times New Roman"/>
      <w:sz w:val="28"/>
      <w:szCs w:val="20"/>
    </w:rPr>
  </w:style>
  <w:style w:type="paragraph" w:customStyle="1" w:styleId="22">
    <w:name w:val="1"/>
    <w:basedOn w:val="1"/>
    <w:next w:val="9"/>
    <w:autoRedefine/>
    <w:qFormat/>
    <w:uiPriority w:val="0"/>
    <w:rPr>
      <w:rFonts w:ascii="宋体" w:hAnsi="Courier New"/>
      <w:szCs w:val="20"/>
    </w:rPr>
  </w:style>
  <w:style w:type="character" w:customStyle="1" w:styleId="23">
    <w:name w:val="标题 1 字符"/>
    <w:basedOn w:val="16"/>
    <w:link w:val="2"/>
    <w:autoRedefine/>
    <w:qFormat/>
    <w:uiPriority w:val="0"/>
    <w:rPr>
      <w:rFonts w:ascii="微软雅黑" w:hAnsi="微软雅黑" w:eastAsia="微软雅黑"/>
      <w:b/>
      <w:bCs/>
      <w:kern w:val="44"/>
      <w:sz w:val="44"/>
      <w:szCs w:val="44"/>
    </w:rPr>
  </w:style>
  <w:style w:type="character" w:customStyle="1" w:styleId="24">
    <w:name w:val="标题 2 字符"/>
    <w:basedOn w:val="16"/>
    <w:link w:val="3"/>
    <w:autoRedefine/>
    <w:qFormat/>
    <w:uiPriority w:val="0"/>
    <w:rPr>
      <w:rFonts w:ascii="Arial" w:hAnsi="Arial" w:eastAsia="黑体"/>
      <w:b/>
      <w:kern w:val="2"/>
      <w:sz w:val="32"/>
    </w:rPr>
  </w:style>
  <w:style w:type="character" w:customStyle="1" w:styleId="25">
    <w:name w:val="标题 3 字符"/>
    <w:basedOn w:val="16"/>
    <w:link w:val="4"/>
    <w:autoRedefine/>
    <w:qFormat/>
    <w:uiPriority w:val="0"/>
    <w:rPr>
      <w:rFonts w:ascii="微软雅黑" w:hAnsi="微软雅黑" w:eastAsia="微软雅黑"/>
      <w:b/>
      <w:bCs/>
      <w:kern w:val="2"/>
      <w:sz w:val="32"/>
      <w:szCs w:val="32"/>
    </w:rPr>
  </w:style>
  <w:style w:type="paragraph" w:styleId="26">
    <w:name w:val="List Paragraph"/>
    <w:basedOn w:val="1"/>
    <w:autoRedefine/>
    <w:qFormat/>
    <w:uiPriority w:val="34"/>
    <w:pPr>
      <w:ind w:firstLine="420" w:firstLineChars="200"/>
    </w:pPr>
  </w:style>
  <w:style w:type="character" w:customStyle="1" w:styleId="27">
    <w:name w:val="批注框文本 字符"/>
    <w:basedOn w:val="16"/>
    <w:link w:val="11"/>
    <w:autoRedefine/>
    <w:semiHidden/>
    <w:qFormat/>
    <w:uiPriority w:val="99"/>
    <w:rPr>
      <w:kern w:val="2"/>
      <w:sz w:val="18"/>
      <w:szCs w:val="18"/>
    </w:rPr>
  </w:style>
  <w:style w:type="paragraph" w:customStyle="1" w:styleId="2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3_0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标题 4_0_0"/>
    <w:basedOn w:val="1"/>
    <w:next w:val="1"/>
    <w:autoRedefine/>
    <w:qFormat/>
    <w:uiPriority w:val="0"/>
    <w:pPr>
      <w:autoSpaceDE w:val="0"/>
      <w:autoSpaceDN w:val="0"/>
      <w:adjustRightInd w:val="0"/>
      <w:snapToGrid w:val="0"/>
      <w:spacing w:line="360" w:lineRule="auto"/>
      <w:outlineLvl w:val="3"/>
    </w:pPr>
    <w:rPr>
      <w:rFonts w:ascii="宋体" w:hAnsi="Arial" w:cs="宋体"/>
      <w:color w:val="000000"/>
      <w:kern w:val="0"/>
      <w:szCs w:val="20"/>
    </w:rPr>
  </w:style>
  <w:style w:type="paragraph" w:customStyle="1" w:styleId="31">
    <w:name w:val="正文_3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文档结构图 字符"/>
    <w:basedOn w:val="16"/>
    <w:link w:val="7"/>
    <w:autoRedefine/>
    <w:semiHidden/>
    <w:qFormat/>
    <w:uiPriority w:val="99"/>
    <w:rPr>
      <w:rFonts w:ascii="宋体"/>
      <w:kern w:val="2"/>
      <w:sz w:val="18"/>
      <w:szCs w:val="18"/>
    </w:rPr>
  </w:style>
  <w:style w:type="character" w:customStyle="1" w:styleId="36">
    <w:name w:val="标题 4 字符"/>
    <w:basedOn w:val="16"/>
    <w:link w:val="5"/>
    <w:autoRedefine/>
    <w:semiHidden/>
    <w:qFormat/>
    <w:uiPriority w:val="9"/>
    <w:rPr>
      <w:rFonts w:asciiTheme="majorHAnsi" w:hAnsiTheme="majorHAnsi" w:eastAsiaTheme="majorEastAsia" w:cstheme="majorBidi"/>
      <w:b/>
      <w:bCs/>
      <w:kern w:val="2"/>
      <w:sz w:val="28"/>
      <w:szCs w:val="28"/>
    </w:rPr>
  </w:style>
  <w:style w:type="character" w:customStyle="1" w:styleId="37">
    <w:name w:val="正文缩进 Char1"/>
    <w:autoRedefine/>
    <w:qFormat/>
    <w:locked/>
    <w:uiPriority w:val="0"/>
    <w:rPr>
      <w:rFonts w:eastAsia="宋体"/>
    </w:rPr>
  </w:style>
  <w:style w:type="paragraph" w:customStyle="1" w:styleId="38">
    <w:name w:val="正文_2"/>
    <w:autoRedefine/>
    <w:qFormat/>
    <w:uiPriority w:val="0"/>
    <w:rPr>
      <w:rFonts w:ascii="Times New Roman" w:hAnsi="Times New Roman" w:eastAsia="宋体" w:cs="Times New Roman"/>
      <w:sz w:val="21"/>
      <w:lang w:val="en-US" w:eastAsia="zh-CN" w:bidi="ar-SA"/>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0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1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3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_1_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标题 1_0"/>
    <w:basedOn w:val="28"/>
    <w:next w:val="28"/>
    <w:autoRedefine/>
    <w:qFormat/>
    <w:uiPriority w:val="99"/>
    <w:pPr>
      <w:keepNext/>
      <w:keepLines/>
      <w:spacing w:before="340" w:after="330" w:line="576" w:lineRule="auto"/>
      <w:outlineLvl w:val="0"/>
    </w:pPr>
    <w:rPr>
      <w:b/>
      <w:bCs/>
      <w:kern w:val="44"/>
      <w:sz w:val="44"/>
      <w:szCs w:val="44"/>
    </w:rPr>
  </w:style>
  <w:style w:type="paragraph" w:customStyle="1" w:styleId="45">
    <w:name w:val="标题 3_0"/>
    <w:basedOn w:val="1"/>
    <w:next w:val="1"/>
    <w:autoRedefine/>
    <w:unhideWhenUsed/>
    <w:qFormat/>
    <w:uiPriority w:val="0"/>
    <w:pPr>
      <w:keepNext/>
      <w:keepLines/>
      <w:numPr>
        <w:ilvl w:val="2"/>
        <w:numId w:val="1"/>
      </w:numPr>
      <w:spacing w:before="260" w:after="260" w:line="416" w:lineRule="auto"/>
      <w:outlineLvl w:val="2"/>
    </w:pPr>
    <w:rPr>
      <w:rFonts w:ascii="Calibri" w:hAnsi="Calibri"/>
      <w:b/>
      <w:bCs/>
      <w:kern w:val="0"/>
      <w:sz w:val="32"/>
      <w:szCs w:val="32"/>
    </w:rPr>
  </w:style>
  <w:style w:type="paragraph" w:customStyle="1" w:styleId="46">
    <w:name w:val="标题 1_1"/>
    <w:basedOn w:val="1"/>
    <w:next w:val="1"/>
    <w:autoRedefine/>
    <w:qFormat/>
    <w:uiPriority w:val="9"/>
    <w:pPr>
      <w:keepNext/>
      <w:keepLines/>
      <w:numPr>
        <w:ilvl w:val="0"/>
        <w:numId w:val="1"/>
      </w:numPr>
      <w:spacing w:before="120" w:after="120" w:line="360" w:lineRule="auto"/>
      <w:ind w:left="0" w:hanging="431" w:hangingChars="205"/>
      <w:outlineLvl w:val="0"/>
    </w:pPr>
    <w:rPr>
      <w:rFonts w:ascii="Calibri" w:hAnsi="Calibri"/>
      <w:b/>
      <w:bCs/>
      <w:kern w:val="44"/>
      <w:sz w:val="32"/>
      <w:szCs w:val="44"/>
    </w:rPr>
  </w:style>
  <w:style w:type="paragraph" w:customStyle="1" w:styleId="47">
    <w:name w:val="标题 2_1"/>
    <w:basedOn w:val="1"/>
    <w:next w:val="1"/>
    <w:autoRedefine/>
    <w:unhideWhenUsed/>
    <w:qFormat/>
    <w:uiPriority w:val="9"/>
    <w:pPr>
      <w:keepNext/>
      <w:keepLines/>
      <w:numPr>
        <w:ilvl w:val="1"/>
        <w:numId w:val="1"/>
      </w:numPr>
      <w:spacing w:before="260" w:after="260" w:line="416" w:lineRule="auto"/>
      <w:outlineLvl w:val="1"/>
    </w:pPr>
    <w:rPr>
      <w:rFonts w:ascii="Cambria" w:hAnsi="Cambria"/>
      <w:b/>
      <w:bCs/>
      <w:kern w:val="0"/>
      <w:sz w:val="30"/>
      <w:szCs w:val="32"/>
    </w:rPr>
  </w:style>
  <w:style w:type="paragraph" w:customStyle="1" w:styleId="48">
    <w:name w:val="标题 4_1"/>
    <w:basedOn w:val="1"/>
    <w:next w:val="1"/>
    <w:autoRedefine/>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49">
    <w:name w:val="标题 5_0"/>
    <w:basedOn w:val="1"/>
    <w:next w:val="1"/>
    <w:autoRedefine/>
    <w:unhideWhenUsed/>
    <w:qFormat/>
    <w:uiPriority w:val="99"/>
    <w:pPr>
      <w:keepNext/>
      <w:keepLines/>
      <w:numPr>
        <w:ilvl w:val="4"/>
        <w:numId w:val="1"/>
      </w:numPr>
      <w:spacing w:before="280" w:after="290" w:line="376" w:lineRule="auto"/>
      <w:outlineLvl w:val="4"/>
    </w:pPr>
    <w:rPr>
      <w:rFonts w:ascii="Calibri" w:hAnsi="Calibri"/>
      <w:b/>
      <w:bCs/>
      <w:kern w:val="0"/>
      <w:sz w:val="28"/>
      <w:szCs w:val="28"/>
    </w:rPr>
  </w:style>
  <w:style w:type="paragraph" w:customStyle="1" w:styleId="50">
    <w:name w:val="标题 6_0"/>
    <w:basedOn w:val="1"/>
    <w:next w:val="1"/>
    <w:autoRedefine/>
    <w:unhideWhenUsed/>
    <w:qFormat/>
    <w:uiPriority w:val="99"/>
    <w:pPr>
      <w:keepNext/>
      <w:keepLines/>
      <w:numPr>
        <w:ilvl w:val="5"/>
        <w:numId w:val="1"/>
      </w:numPr>
      <w:spacing w:before="240" w:after="64" w:line="320" w:lineRule="auto"/>
      <w:outlineLvl w:val="5"/>
    </w:pPr>
    <w:rPr>
      <w:rFonts w:ascii="Cambria" w:hAnsi="Cambria"/>
      <w:b/>
      <w:bCs/>
      <w:kern w:val="0"/>
      <w:sz w:val="24"/>
    </w:rPr>
  </w:style>
  <w:style w:type="paragraph" w:customStyle="1" w:styleId="51">
    <w:name w:val="标题 7_0"/>
    <w:basedOn w:val="1"/>
    <w:next w:val="1"/>
    <w:autoRedefine/>
    <w:semiHidden/>
    <w:unhideWhenUsed/>
    <w:qFormat/>
    <w:uiPriority w:val="9"/>
    <w:pPr>
      <w:keepNext/>
      <w:keepLines/>
      <w:numPr>
        <w:ilvl w:val="6"/>
        <w:numId w:val="1"/>
      </w:numPr>
      <w:spacing w:before="240" w:after="64" w:line="320" w:lineRule="auto"/>
      <w:outlineLvl w:val="6"/>
    </w:pPr>
    <w:rPr>
      <w:rFonts w:ascii="Calibri" w:hAnsi="Calibri"/>
      <w:b/>
      <w:bCs/>
      <w:kern w:val="0"/>
      <w:sz w:val="24"/>
    </w:rPr>
  </w:style>
  <w:style w:type="paragraph" w:customStyle="1" w:styleId="52">
    <w:name w:val="标题 8_0"/>
    <w:basedOn w:val="1"/>
    <w:next w:val="1"/>
    <w:autoRedefine/>
    <w:semiHidden/>
    <w:unhideWhenUsed/>
    <w:qFormat/>
    <w:uiPriority w:val="9"/>
    <w:pPr>
      <w:keepNext/>
      <w:keepLines/>
      <w:numPr>
        <w:ilvl w:val="7"/>
        <w:numId w:val="1"/>
      </w:numPr>
      <w:spacing w:before="240" w:after="64" w:line="320" w:lineRule="auto"/>
      <w:outlineLvl w:val="7"/>
    </w:pPr>
    <w:rPr>
      <w:rFonts w:ascii="Cambria" w:hAnsi="Cambria"/>
      <w:kern w:val="0"/>
      <w:sz w:val="24"/>
    </w:rPr>
  </w:style>
  <w:style w:type="paragraph" w:customStyle="1" w:styleId="53">
    <w:name w:val="标题 9_0"/>
    <w:basedOn w:val="1"/>
    <w:next w:val="1"/>
    <w:autoRedefine/>
    <w:semiHidden/>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paragraph" w:customStyle="1" w:styleId="54">
    <w:name w:val="章节标题"/>
    <w:next w:val="1"/>
    <w:qFormat/>
    <w:uiPriority w:val="0"/>
    <w:pPr>
      <w:widowControl w:val="0"/>
      <w:spacing w:before="240" w:after="240" w:line="360" w:lineRule="auto"/>
      <w:jc w:val="center"/>
      <w:outlineLvl w:val="0"/>
    </w:pPr>
    <w:rPr>
      <w:rFonts w:ascii="Times New Roman" w:hAnsi="Times New Roman" w:eastAsia="黑体" w:cs="Times New Roman"/>
      <w:kern w:val="44"/>
      <w:sz w:val="30"/>
      <w:szCs w:val="36"/>
      <w:lang w:val="en-US" w:eastAsia="zh-CN" w:bidi="ar-SA"/>
    </w:rPr>
  </w:style>
  <w:style w:type="paragraph" w:customStyle="1" w:styleId="55">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sz w:val="24"/>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84AFD-3BEE-4A5F-8543-E4CB85F31E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5369</Words>
  <Characters>5862</Characters>
  <Lines>85</Lines>
  <Paragraphs>24</Paragraphs>
  <TotalTime>4</TotalTime>
  <ScaleCrop>false</ScaleCrop>
  <LinksUpToDate>false</LinksUpToDate>
  <CharactersWithSpaces>5931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2024-04-03T01:40:00Z</dcterms:created>
  <dc:creator>Administrator</dc:creator>
  <cp:lastModifiedBy>Z.Z.T</cp:lastModifiedBy>
  <cp:lastPrinted>2020-11-23T00:58:00Z</cp:lastPrinted>
  <dcterms:modified xsi:type="dcterms:W3CDTF">2025-05-29T07:50:32Z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E1B9876B9CBC4C8CBB071E03CB53E05C_13</vt:lpwstr>
  </property>
  <property fmtid="{D5CDD505-2E9C-101B-9397-08002B2CF9AE}" pid="4" name="KSOTemplateDocerSaveRecord">
    <vt:lpwstr>eyJoZGlkIjoiOGZlYjBhYTIyY2I0MjQwYjU4ZDBhMDU3YzQ1NWM0ODIiLCJ1c2VySWQiOiIxOTEwMjQwMDUifQ==</vt:lpwstr>
  </property>
</Properties>
</file>