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1EBD0">
      <w:pPr>
        <w:spacing w:before="156" w:beforeLines="50" w:after="156" w:afterLines="50" w:line="360" w:lineRule="exact"/>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广州大学202</w:t>
      </w:r>
      <w:r>
        <w:rPr>
          <w:rFonts w:hint="eastAsia" w:ascii="宋体" w:hAnsi="宋体" w:eastAsia="宋体" w:cs="Times New Roman"/>
          <w:b/>
          <w:color w:val="000000" w:themeColor="text1"/>
          <w:sz w:val="32"/>
          <w:szCs w:val="32"/>
          <w:lang w:val="en-US" w:eastAsia="zh-CN"/>
          <w14:textFill>
            <w14:solidFill>
              <w14:schemeClr w14:val="tx1"/>
            </w14:solidFill>
          </w14:textFill>
        </w:rPr>
        <w:t>5</w:t>
      </w:r>
      <w:r>
        <w:rPr>
          <w:rFonts w:hint="eastAsia" w:ascii="宋体" w:hAnsi="宋体" w:eastAsia="宋体" w:cs="Times New Roman"/>
          <w:b/>
          <w:color w:val="000000" w:themeColor="text1"/>
          <w:sz w:val="32"/>
          <w:szCs w:val="32"/>
          <w14:textFill>
            <w14:solidFill>
              <w14:schemeClr w14:val="tx1"/>
            </w14:solidFill>
          </w14:textFill>
        </w:rPr>
        <w:t>年大学城校区毕业生宿舍维修翻新工程</w:t>
      </w:r>
    </w:p>
    <w:p w14:paraId="59AC4F33">
      <w:pPr>
        <w:spacing w:before="156" w:beforeLines="50" w:after="156" w:afterLines="50" w:line="360" w:lineRule="exact"/>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检测服务校内零散采购询价文件</w:t>
      </w:r>
    </w:p>
    <w:p w14:paraId="6E47FA23">
      <w:pPr>
        <w:spacing w:before="156" w:beforeLines="50" w:after="156" w:afterLines="50" w:line="440" w:lineRule="exact"/>
        <w:jc w:val="lef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一、采购项目</w:t>
      </w:r>
    </w:p>
    <w:p w14:paraId="4B2FB419">
      <w:pPr>
        <w:spacing w:line="44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1、项目名称：</w:t>
      </w:r>
      <w:r>
        <w:rPr>
          <w:rFonts w:hint="eastAsia"/>
          <w:color w:val="000000" w:themeColor="text1"/>
          <w:szCs w:val="21"/>
          <w:u w:val="single"/>
          <w14:textFill>
            <w14:solidFill>
              <w14:schemeClr w14:val="tx1"/>
            </w14:solidFill>
          </w14:textFill>
        </w:rPr>
        <w:t>广州大学202</w:t>
      </w:r>
      <w:r>
        <w:rPr>
          <w:rFonts w:hint="eastAsia"/>
          <w:color w:val="000000" w:themeColor="text1"/>
          <w:szCs w:val="21"/>
          <w:u w:val="single"/>
          <w:lang w:val="en-US" w:eastAsia="zh-CN"/>
          <w14:textFill>
            <w14:solidFill>
              <w14:schemeClr w14:val="tx1"/>
            </w14:solidFill>
          </w14:textFill>
        </w:rPr>
        <w:t>5</w:t>
      </w:r>
      <w:r>
        <w:rPr>
          <w:rFonts w:hint="eastAsia"/>
          <w:color w:val="000000" w:themeColor="text1"/>
          <w:szCs w:val="21"/>
          <w:u w:val="single"/>
          <w14:textFill>
            <w14:solidFill>
              <w14:schemeClr w14:val="tx1"/>
            </w14:solidFill>
          </w14:textFill>
        </w:rPr>
        <w:t>年大学城校区毕业生宿舍维修翻新工程检测服务</w:t>
      </w:r>
    </w:p>
    <w:p w14:paraId="0E69D3DE">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2、本项目最高限价：</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199</w:t>
      </w:r>
      <w:r>
        <w:rPr>
          <w:rFonts w:hint="eastAsia"/>
          <w:color w:val="000000" w:themeColor="text1"/>
          <w:szCs w:val="21"/>
          <w:u w:val="single"/>
          <w:lang w:val="en-US" w:eastAsia="zh-CN"/>
          <w14:textFill>
            <w14:solidFill>
              <w14:schemeClr w14:val="tx1"/>
            </w14:solidFill>
          </w14:textFill>
        </w:rPr>
        <w:t>690</w:t>
      </w:r>
      <w:r>
        <w:rPr>
          <w:rFonts w:hint="eastAsia"/>
          <w:color w:val="000000" w:themeColor="text1"/>
          <w:szCs w:val="21"/>
          <w:u w:val="single"/>
          <w14:textFill>
            <w14:solidFill>
              <w14:schemeClr w14:val="tx1"/>
            </w14:solidFill>
          </w14:textFill>
        </w:rPr>
        <w:t>元（含2</w:t>
      </w:r>
      <w:r>
        <w:rPr>
          <w:color w:val="000000" w:themeColor="text1"/>
          <w:szCs w:val="21"/>
          <w:u w:val="single"/>
          <w14:textFill>
            <w14:solidFill>
              <w14:schemeClr w14:val="tx1"/>
            </w14:solidFill>
          </w14:textFill>
        </w:rPr>
        <w:t>0000</w:t>
      </w:r>
      <w:r>
        <w:rPr>
          <w:rFonts w:hint="eastAsia"/>
          <w:color w:val="000000" w:themeColor="text1"/>
          <w:szCs w:val="21"/>
          <w:u w:val="single"/>
          <w14:textFill>
            <w14:solidFill>
              <w14:schemeClr w14:val="tx1"/>
            </w14:solidFill>
          </w14:textFill>
        </w:rPr>
        <w:t>元暂列金），暂列金为不可竞争费用。</w:t>
      </w:r>
    </w:p>
    <w:p w14:paraId="49C6A9D6">
      <w:pPr>
        <w:spacing w:line="44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本</w:t>
      </w:r>
      <w:r>
        <w:rPr>
          <w:rFonts w:hint="eastAsia"/>
          <w:color w:val="000000" w:themeColor="text1"/>
          <w:szCs w:val="21"/>
          <w14:textFill>
            <w14:solidFill>
              <w14:schemeClr w14:val="tx1"/>
            </w14:solidFill>
          </w14:textFill>
        </w:rPr>
        <w:t>项目</w:t>
      </w:r>
      <w:r>
        <w:rPr>
          <w:rFonts w:hint="eastAsia"/>
          <w:color w:val="000000" w:themeColor="text1"/>
          <w:szCs w:val="21"/>
          <w:lang w:val="en-US" w:eastAsia="zh-CN"/>
          <w14:textFill>
            <w14:solidFill>
              <w14:schemeClr w14:val="tx1"/>
            </w14:solidFill>
          </w14:textFill>
        </w:rPr>
        <w:t>使用地点</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大学城校区生活区</w:t>
      </w:r>
    </w:p>
    <w:p w14:paraId="24B1CFCB">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4、项目概况：广州大学202</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年大学城校区毕业生宿舍维修翻新工程涉及大学城校区2</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栋约1</w:t>
      </w:r>
      <w:r>
        <w:rPr>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22</w:t>
      </w:r>
      <w:r>
        <w:rPr>
          <w:rFonts w:hint="eastAsia"/>
          <w:color w:val="000000" w:themeColor="text1"/>
          <w:szCs w:val="21"/>
          <w14:textFill>
            <w14:solidFill>
              <w14:schemeClr w14:val="tx1"/>
            </w14:solidFill>
          </w14:textFill>
        </w:rPr>
        <w:t>间学生公寓，翻新面积3万多平方米（含梅苑1</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10栋，兰苑1</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5栋，竹苑1</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5栋，菊苑1</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5栋）。项目内容包括：天棚、墙面粉刷翻新，部分进户门翻新，卫生间门、淋浴间门、蹲便冲水箱更换，局部防水补漏等。</w:t>
      </w:r>
    </w:p>
    <w:p w14:paraId="6DA95201">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5、工程工期总日历天数：40天（拟开工时间：7月上旬，拟竣工时间：8月中旬）</w:t>
      </w:r>
    </w:p>
    <w:p w14:paraId="2AE6D5BB">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en-US" w:eastAsia="zh-CN"/>
          <w14:textFill>
            <w14:solidFill>
              <w14:schemeClr w14:val="tx1"/>
            </w14:solidFill>
          </w14:textFill>
        </w:rPr>
        <w:t>6</w:t>
      </w:r>
      <w:r>
        <w:rPr>
          <w:rFonts w:hint="eastAsia" w:ascii="宋体" w:hAnsi="宋体" w:eastAsia="宋体" w:cs="Arial"/>
          <w:b/>
          <w:color w:val="000000" w:themeColor="text1"/>
          <w:szCs w:val="21"/>
          <w:lang w:val="zh-CN"/>
          <w14:textFill>
            <w14:solidFill>
              <w14:schemeClr w14:val="tx1"/>
            </w14:solidFill>
          </w14:textFill>
        </w:rPr>
        <w:t>、本文加★号的条款均被视为重要的指标要求，必须一一响应。若有一项带“★”的指标要求未响应或不满足，将按响应无效处理。</w:t>
      </w:r>
    </w:p>
    <w:p w14:paraId="3BB1886B">
      <w:pPr>
        <w:pStyle w:val="13"/>
        <w:ind w:firstLine="240"/>
        <w:rPr>
          <w:color w:val="000000" w:themeColor="text1"/>
          <w14:textFill>
            <w14:solidFill>
              <w14:schemeClr w14:val="tx1"/>
            </w14:solidFill>
          </w14:textFill>
        </w:rPr>
      </w:pPr>
    </w:p>
    <w:p w14:paraId="59EACC42">
      <w:pPr>
        <w:spacing w:line="440" w:lineRule="exact"/>
        <w:rPr>
          <w:rFonts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二、质量要求、技术标准及供应商要求</w:t>
      </w:r>
    </w:p>
    <w:p w14:paraId="4D749D41">
      <w:pPr>
        <w:pStyle w:val="12"/>
        <w:spacing w:before="0" w:beforeAutospacing="0" w:after="0" w:afterAutospacing="0" w:line="44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、质量要求、技术标准：</w:t>
      </w:r>
    </w:p>
    <w:p w14:paraId="164A3E1B">
      <w:pPr>
        <w:pStyle w:val="12"/>
        <w:spacing w:before="0" w:beforeAutospacing="0" w:after="0" w:afterAutospacing="0" w:line="44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交供应商提供的货物（服务）必须符合中华人民共和国国家安全环保标准、国家有关产品质量认证标准。询价文件和报价文件中规定的质量要求和技术指标为约定标准，采购人和成交供应商如遇对质量要求和技术指标中有相互抵触或异议的事项，由采购人在询价文件和报价文件中按质量要求和技术指标“就优不就劣”有利于采购人的原则确定该项的约定标准。</w:t>
      </w:r>
    </w:p>
    <w:p w14:paraId="4EB2E3D2">
      <w:pPr>
        <w:pStyle w:val="12"/>
        <w:spacing w:before="0" w:beforeAutospacing="0" w:after="0" w:afterAutospacing="0" w:line="44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须严格按照《建筑结构检测技术标准》（GB/T 50344）、《混凝土结构设计规范》（GB50010）、《建筑装饰装修工程质量验收标准（G</w:t>
      </w:r>
      <w:r>
        <w:rPr>
          <w:color w:val="000000" w:themeColor="text1"/>
          <w:sz w:val="21"/>
          <w:szCs w:val="21"/>
          <w14:textFill>
            <w14:solidFill>
              <w14:schemeClr w14:val="tx1"/>
            </w14:solidFill>
          </w14:textFill>
        </w:rPr>
        <w:t>B50210</w:t>
      </w:r>
      <w:r>
        <w:rPr>
          <w:rFonts w:hint="eastAsia"/>
          <w:color w:val="000000" w:themeColor="text1"/>
          <w:sz w:val="21"/>
          <w:szCs w:val="21"/>
          <w14:textFill>
            <w14:solidFill>
              <w14:schemeClr w14:val="tx1"/>
            </w14:solidFill>
          </w14:textFill>
        </w:rPr>
        <w:t>）》、《建筑环境通用规范（G</w:t>
      </w:r>
      <w:r>
        <w:rPr>
          <w:color w:val="000000" w:themeColor="text1"/>
          <w:sz w:val="21"/>
          <w:szCs w:val="21"/>
          <w14:textFill>
            <w14:solidFill>
              <w14:schemeClr w14:val="tx1"/>
            </w14:solidFill>
          </w14:textFill>
        </w:rPr>
        <w:t>B55016</w:t>
      </w:r>
      <w:r>
        <w:rPr>
          <w:rFonts w:hint="eastAsia"/>
          <w:color w:val="000000" w:themeColor="text1"/>
          <w:sz w:val="21"/>
          <w:szCs w:val="21"/>
          <w14:textFill>
            <w14:solidFill>
              <w14:schemeClr w14:val="tx1"/>
            </w14:solidFill>
          </w14:textFill>
        </w:rPr>
        <w:t>）》、《建筑用墙面涂料中有害物质限量（G</w:t>
      </w:r>
      <w:r>
        <w:rPr>
          <w:color w:val="000000" w:themeColor="text1"/>
          <w:sz w:val="21"/>
          <w:szCs w:val="21"/>
          <w14:textFill>
            <w14:solidFill>
              <w14:schemeClr w14:val="tx1"/>
            </w14:solidFill>
          </w14:textFill>
        </w:rPr>
        <w:t>B18582</w:t>
      </w:r>
      <w:r>
        <w:rPr>
          <w:rFonts w:hint="eastAsia"/>
          <w:color w:val="000000" w:themeColor="text1"/>
          <w:sz w:val="21"/>
          <w:szCs w:val="21"/>
          <w14:textFill>
            <w14:solidFill>
              <w14:schemeClr w14:val="tx1"/>
            </w14:solidFill>
          </w14:textFill>
        </w:rPr>
        <w:t>）》、《民用建筑工程室内环境污染控制标准（G</w:t>
      </w:r>
      <w:r>
        <w:rPr>
          <w:color w:val="000000" w:themeColor="text1"/>
          <w:sz w:val="21"/>
          <w:szCs w:val="21"/>
          <w14:textFill>
            <w14:solidFill>
              <w14:schemeClr w14:val="tx1"/>
            </w14:solidFill>
          </w14:textFill>
        </w:rPr>
        <w:t>B50325</w:t>
      </w:r>
      <w:r>
        <w:rPr>
          <w:rFonts w:hint="eastAsia"/>
          <w:color w:val="000000" w:themeColor="text1"/>
          <w:sz w:val="21"/>
          <w:szCs w:val="21"/>
          <w14:textFill>
            <w14:solidFill>
              <w14:schemeClr w14:val="tx1"/>
            </w14:solidFill>
          </w14:textFill>
        </w:rPr>
        <w:t>）》、《建设工程质量检测机构资质标准》、《中华人民共和国建筑法》、《建设工程质量管理条例》、《建设工程质量检测管理办法》、《广东省建设工程质量管理条例》、《广州市房屋建筑和市政基础设施工程质量管理办法》、《广州市建设工程质量检测管理办法》、等相关现行规范、标准及国家、地方相关规章制度以及设计文件、施工质量保证资料和现场情况开展检测、鉴定工作。</w:t>
      </w:r>
    </w:p>
    <w:p w14:paraId="615FCD11">
      <w:pPr>
        <w:pStyle w:val="12"/>
        <w:spacing w:before="0" w:beforeAutospacing="0" w:after="0" w:afterAutospacing="0" w:line="440" w:lineRule="exact"/>
        <w:ind w:firstLine="482" w:firstLineChars="200"/>
        <w:jc w:val="both"/>
        <w:rPr>
          <w:color w:val="000000" w:themeColor="text1"/>
          <w:sz w:val="21"/>
          <w:szCs w:val="21"/>
          <w14:textFill>
            <w14:solidFill>
              <w14:schemeClr w14:val="tx1"/>
            </w14:solidFill>
          </w14:textFill>
        </w:rPr>
      </w:pPr>
      <w:r>
        <w:rPr>
          <w:rFonts w:hint="eastAsia"/>
          <w:b/>
          <w:color w:val="000000" w:themeColor="text1"/>
          <w:szCs w:val="21"/>
          <w:lang w:val="zh-CN"/>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、供应商要求：</w:t>
      </w:r>
    </w:p>
    <w:p w14:paraId="7505518C">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须提供质量技术监督管理部门颁发的CMA检验检测机构资质认定证书和建设行政主管部门颁发的建设工程质量检测机构资质证书，且检测服务期间证书在有效期内，以上证书中至少有一个证书的检测范围要包含《清单报价表》中涉及的检测对象和相应的检测参数，并提供相应佐证材料。</w:t>
      </w:r>
    </w:p>
    <w:p w14:paraId="7C10D20B">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）供应商须在广州市住房和城乡建设局建立企业诚信档案，外省检测机构须按规定向广东省建设行政管理部门备案，并提供证明材料。</w:t>
      </w:r>
    </w:p>
    <w:p w14:paraId="3E4B791C">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）供应商须根据本项目的检测内容及工期合理配备检测人员和设备，并提供人员组织构架和设备清单，项目负责人和检测人员须提供符合检测内容及相关法规要求的资质证书。</w:t>
      </w:r>
    </w:p>
    <w:p w14:paraId="6D169F93">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）供应商</w:t>
      </w:r>
      <w:r>
        <w:rPr>
          <w:rFonts w:hint="eastAsia" w:ascii="宋体" w:hAnsi="宋体" w:cs="宋体"/>
          <w:color w:val="000000" w:themeColor="text1"/>
          <w:lang w:val="en-US" w:eastAsia="zh-CN"/>
          <w14:textFill>
            <w14:solidFill>
              <w14:schemeClr w14:val="tx1"/>
            </w14:solidFill>
          </w14:textFill>
        </w:rPr>
        <w:t>须</w:t>
      </w:r>
      <w:r>
        <w:rPr>
          <w:rFonts w:hint="eastAsia" w:ascii="宋体" w:hAnsi="宋体" w:cs="宋体"/>
          <w:color w:val="000000" w:themeColor="text1"/>
          <w14:textFill>
            <w14:solidFill>
              <w14:schemeClr w14:val="tx1"/>
            </w14:solidFill>
          </w14:textFill>
        </w:rPr>
        <w:t>提供20</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年1月1日以来供应商含空气污染物检测的同类业绩证明材料，须提供检测服务合同和检验报告。</w:t>
      </w:r>
    </w:p>
    <w:p w14:paraId="78C4BD37">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三、项目采购需求：</w:t>
      </w:r>
    </w:p>
    <w:p w14:paraId="093EC95C">
      <w:pPr>
        <w:spacing w:line="44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cs="Arial"/>
          <w:b/>
          <w:color w:val="000000" w:themeColor="text1"/>
          <w:sz w:val="24"/>
          <w:lang w:val="zh-CN"/>
          <w14:textFill>
            <w14:solidFill>
              <w14:schemeClr w14:val="tx1"/>
            </w14:solidFill>
          </w14:textFill>
        </w:rPr>
        <w:t>1、</w:t>
      </w:r>
      <w:r>
        <w:rPr>
          <w:rFonts w:hint="eastAsia" w:ascii="宋体" w:hAnsi="宋体" w:eastAsia="宋体" w:cs="Arial"/>
          <w:b/>
          <w:color w:val="000000" w:themeColor="text1"/>
          <w:szCs w:val="21"/>
          <w:lang w:val="zh-CN"/>
          <w14:textFill>
            <w14:solidFill>
              <w14:schemeClr w14:val="tx1"/>
            </w14:solidFill>
          </w14:textFill>
        </w:rPr>
        <w:t>采购</w:t>
      </w:r>
      <w:r>
        <w:rPr>
          <w:rFonts w:hint="eastAsia" w:ascii="宋体" w:hAnsi="宋体" w:eastAsia="宋体" w:cs="Times New Roman"/>
          <w:b/>
          <w:color w:val="000000" w:themeColor="text1"/>
          <w:szCs w:val="21"/>
          <w14:textFill>
            <w14:solidFill>
              <w14:schemeClr w14:val="tx1"/>
            </w14:solidFill>
          </w14:textFill>
        </w:rPr>
        <w:t>服务名称、数量、规格及技术要求：</w:t>
      </w:r>
    </w:p>
    <w:tbl>
      <w:tblPr>
        <w:tblStyle w:val="14"/>
        <w:tblW w:w="82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3401"/>
        <w:gridCol w:w="1470"/>
        <w:gridCol w:w="2574"/>
      </w:tblGrid>
      <w:tr w14:paraId="78B695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11" w:type="dxa"/>
            <w:vAlign w:val="center"/>
          </w:tcPr>
          <w:p w14:paraId="12D9B8E0">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3401" w:type="dxa"/>
            <w:vAlign w:val="center"/>
          </w:tcPr>
          <w:p w14:paraId="632436EF">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名称</w:t>
            </w:r>
          </w:p>
        </w:tc>
        <w:tc>
          <w:tcPr>
            <w:tcW w:w="1470" w:type="dxa"/>
            <w:vAlign w:val="center"/>
          </w:tcPr>
          <w:p w14:paraId="5725408F">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数量</w:t>
            </w:r>
          </w:p>
        </w:tc>
        <w:tc>
          <w:tcPr>
            <w:tcW w:w="2574" w:type="dxa"/>
            <w:vAlign w:val="center"/>
          </w:tcPr>
          <w:p w14:paraId="764ECE88">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规格及技术要求：</w:t>
            </w:r>
          </w:p>
        </w:tc>
      </w:tr>
      <w:tr w14:paraId="47F4D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11" w:type="dxa"/>
            <w:shd w:val="clear" w:color="auto" w:fill="auto"/>
            <w:vAlign w:val="center"/>
          </w:tcPr>
          <w:p w14:paraId="6516B6ED">
            <w:pPr>
              <w:spacing w:line="360" w:lineRule="exact"/>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01</w:t>
            </w:r>
          </w:p>
        </w:tc>
        <w:tc>
          <w:tcPr>
            <w:tcW w:w="3401" w:type="dxa"/>
            <w:shd w:val="clear" w:color="auto" w:fill="auto"/>
            <w:vAlign w:val="center"/>
          </w:tcPr>
          <w:p w14:paraId="31D39F65">
            <w:pPr>
              <w:spacing w:line="360" w:lineRule="exact"/>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u w:val="single"/>
                <w:lang w:val="zh-CN"/>
                <w14:textFill>
                  <w14:solidFill>
                    <w14:schemeClr w14:val="tx1"/>
                  </w14:solidFill>
                </w14:textFill>
              </w:rPr>
              <w:t>广州大学202</w:t>
            </w:r>
            <w:r>
              <w:rPr>
                <w:rFonts w:hint="eastAsia" w:ascii="宋体" w:hAnsi="宋体" w:eastAsia="宋体" w:cs="Arial"/>
                <w:color w:val="000000" w:themeColor="text1"/>
                <w:szCs w:val="21"/>
                <w:u w:val="single"/>
                <w:lang w:val="en-US" w:eastAsia="zh-CN"/>
                <w14:textFill>
                  <w14:solidFill>
                    <w14:schemeClr w14:val="tx1"/>
                  </w14:solidFill>
                </w14:textFill>
              </w:rPr>
              <w:t>5</w:t>
            </w:r>
            <w:r>
              <w:rPr>
                <w:rFonts w:hint="eastAsia" w:ascii="宋体" w:hAnsi="宋体" w:eastAsia="宋体" w:cs="Arial"/>
                <w:color w:val="000000" w:themeColor="text1"/>
                <w:szCs w:val="21"/>
                <w:u w:val="single"/>
                <w:lang w:val="zh-CN"/>
                <w14:textFill>
                  <w14:solidFill>
                    <w14:schemeClr w14:val="tx1"/>
                  </w14:solidFill>
                </w14:textFill>
              </w:rPr>
              <w:t>年大学城校区毕业生宿舍维修翻新工程检测服务</w:t>
            </w:r>
          </w:p>
        </w:tc>
        <w:tc>
          <w:tcPr>
            <w:tcW w:w="1470" w:type="dxa"/>
            <w:shd w:val="clear" w:color="auto" w:fill="auto"/>
            <w:vAlign w:val="center"/>
          </w:tcPr>
          <w:p w14:paraId="7B50CDD2">
            <w:pPr>
              <w:spacing w:line="360" w:lineRule="exact"/>
              <w:jc w:val="center"/>
              <w:rPr>
                <w:rFonts w:ascii="宋体" w:hAnsi="宋体" w:eastAsia="宋体" w:cs="Arial"/>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2574" w:type="dxa"/>
            <w:shd w:val="clear" w:color="auto" w:fill="auto"/>
            <w:vAlign w:val="center"/>
          </w:tcPr>
          <w:p w14:paraId="4B682B94">
            <w:pPr>
              <w:spacing w:line="360" w:lineRule="exact"/>
              <w:jc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满足检测鉴定需求，符合国家现行相关标准、规范要求</w:t>
            </w:r>
          </w:p>
        </w:tc>
      </w:tr>
    </w:tbl>
    <w:p w14:paraId="0B2EFDAD">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2、交货期、交货地点</w:t>
      </w:r>
    </w:p>
    <w:p w14:paraId="26AAAE82">
      <w:pPr>
        <w:spacing w:line="440" w:lineRule="exact"/>
        <w:ind w:firstLine="422" w:firstLineChars="200"/>
        <w:rPr>
          <w:color w:val="000000" w:themeColor="text1"/>
          <w:szCs w:val="21"/>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w:t>
      </w:r>
      <w:r>
        <w:rPr>
          <w:rFonts w:hint="eastAsia"/>
          <w:color w:val="000000" w:themeColor="text1"/>
          <w:szCs w:val="21"/>
          <w14:textFill>
            <w14:solidFill>
              <w14:schemeClr w14:val="tx1"/>
            </w14:solidFill>
          </w14:textFill>
        </w:rPr>
        <w:t>（1）交货期：在现场满足检测条件后，①建筑材料检测</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个日历天内出具初步检测结果，</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个日历天内出具检测报告；②室内环境污染物检测</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个日历天内出具该批次的检测报告，不得因检测工作滞后影响工程进度，检测单位须根据现场施工进度及时开展检测鉴定工作，并分批出具检测数据及成果文件。</w:t>
      </w:r>
    </w:p>
    <w:p w14:paraId="1DBF1048">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（2）送货地点：采购人指定的地点。</w:t>
      </w:r>
    </w:p>
    <w:p w14:paraId="24DECB4F">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3、付款方式</w:t>
      </w:r>
    </w:p>
    <w:p w14:paraId="7B5C0B00">
      <w:pPr>
        <w:spacing w:line="440" w:lineRule="exact"/>
        <w:ind w:firstLine="420" w:firstLineChars="2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（1）本项目不设预付款。合同生效后，经双方确认成交供应商完成检测成果文件达到成交价60%的，成交供应商可申请成交价款50%的进度款，采购人收到成交供应商付款票据资后15 个工作日内完成审核并办理支付；检测服务全部完成且工程竣工验收后，成交供应商提交最终成果报告及完整的结算资料，采购人15 个工作日内完成审核，一次性支付检测费余款。</w:t>
      </w:r>
    </w:p>
    <w:p w14:paraId="52C458F1">
      <w:pPr>
        <w:spacing w:line="440" w:lineRule="exact"/>
        <w:ind w:firstLine="420" w:firstLineChars="2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（2）如因施工单位原因，导致需复验或增加检测鉴定量的，由成交供应商向施工单位要求支付。</w:t>
      </w:r>
    </w:p>
    <w:p w14:paraId="3B0C171A">
      <w:pPr>
        <w:spacing w:line="440" w:lineRule="exact"/>
        <w:ind w:firstLine="420" w:firstLineChars="2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（3）结算原则：</w:t>
      </w:r>
    </w:p>
    <w:p w14:paraId="51FC29E3">
      <w:pPr>
        <w:spacing w:line="440" w:lineRule="exact"/>
        <w:ind w:firstLine="630" w:firstLineChars="3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①《清单报价表》中已有或相类似的检测内容，结算时按《清单报价表》中的综合单价和实际发生的工程量进行结算。</w:t>
      </w:r>
    </w:p>
    <w:p w14:paraId="084F2DAD">
      <w:pPr>
        <w:spacing w:line="440" w:lineRule="exact"/>
        <w:ind w:firstLine="632" w:firstLineChars="300"/>
        <w:rPr>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w:t>
      </w:r>
      <w:r>
        <w:rPr>
          <w:rFonts w:hint="eastAsia"/>
          <w:color w:val="000000" w:themeColor="text1"/>
          <w:szCs w:val="21"/>
          <w:lang w:val="zh-CN"/>
          <w14:textFill>
            <w14:solidFill>
              <w14:schemeClr w14:val="tx1"/>
            </w14:solidFill>
          </w14:textFill>
        </w:rPr>
        <w:t>②《清单报价表》以外的检测内容，结算时单价按照“关于印发《广东省房屋建筑和市政工程质量安全检测收费指导价（第一批）》和《广东省既有房屋建筑安全性鉴定收费指导价》的通知”（粤建检协【2015】8号）对应的指导单价（取低值）及下浮率综合计算（结算单价为：收费指导价（取低值）*（1-下浮率）），工程量按实结算，供应商须在《报价一览表》中填报下浮率，且下浮率不得少于3</w:t>
      </w:r>
      <w:r>
        <w:rPr>
          <w:color w:val="000000" w:themeColor="text1"/>
          <w:szCs w:val="21"/>
          <w:lang w:val="zh-CN"/>
          <w14:textFill>
            <w14:solidFill>
              <w14:schemeClr w14:val="tx1"/>
            </w14:solidFill>
          </w14:textFill>
        </w:rPr>
        <w:t>0%</w:t>
      </w:r>
      <w:r>
        <w:rPr>
          <w:rFonts w:hint="eastAsia"/>
          <w:color w:val="000000" w:themeColor="text1"/>
          <w:szCs w:val="21"/>
          <w:lang w:val="zh-CN"/>
          <w14:textFill>
            <w14:solidFill>
              <w14:schemeClr w14:val="tx1"/>
            </w14:solidFill>
          </w14:textFill>
        </w:rPr>
        <w:t>。</w:t>
      </w:r>
    </w:p>
    <w:p w14:paraId="4311D25A">
      <w:pPr>
        <w:spacing w:line="440" w:lineRule="exact"/>
        <w:ind w:firstLine="630" w:firstLineChars="300"/>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③如遇以上文件都不能涵盖的新增检测内容，则结算单价由双方另行协商确定。</w:t>
      </w:r>
    </w:p>
    <w:p w14:paraId="0A48EB20">
      <w:pPr>
        <w:spacing w:line="440" w:lineRule="exact"/>
        <w:ind w:firstLine="632" w:firstLineChars="300"/>
        <w:rPr>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w:t>
      </w:r>
      <w:r>
        <w:rPr>
          <w:rFonts w:hint="eastAsia"/>
          <w:color w:val="000000" w:themeColor="text1"/>
          <w:szCs w:val="21"/>
          <w:lang w:val="zh-CN"/>
          <w14:textFill>
            <w14:solidFill>
              <w14:schemeClr w14:val="tx1"/>
            </w14:solidFill>
          </w14:textFill>
        </w:rPr>
        <w:t>④当《清单报价表》内的工程量增加或检测内容调整必须使用暂列金时，可由双方协商一致，并以书面形式确定，增加的总金额不得超过暂列金，若超过暂列金则按暂列金结算。</w:t>
      </w:r>
    </w:p>
    <w:p w14:paraId="0CFFAA93">
      <w:pPr>
        <w:spacing w:line="44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4、检测服务内容：</w:t>
      </w:r>
    </w:p>
    <w:p w14:paraId="51C5C8E4">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（1）编制方案：</w:t>
      </w:r>
    </w:p>
    <w:p w14:paraId="045B8D84">
      <w:pPr>
        <w:pStyle w:val="23"/>
        <w:numPr>
          <w:ilvl w:val="0"/>
          <w:numId w:val="2"/>
        </w:numPr>
        <w:spacing w:line="440" w:lineRule="exact"/>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原始图纸等相关资料调查，了解原设计内容和要求；</w:t>
      </w:r>
    </w:p>
    <w:p w14:paraId="54DD8128">
      <w:pPr>
        <w:pStyle w:val="23"/>
        <w:numPr>
          <w:ilvl w:val="0"/>
          <w:numId w:val="2"/>
        </w:numPr>
        <w:spacing w:line="440" w:lineRule="exact"/>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施工组织设计文件调查，以根据项目实施进度计划及工期编制检测方案；</w:t>
      </w:r>
    </w:p>
    <w:p w14:paraId="661B6D3E">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（2）检测内容包括但不限于以下内容：</w:t>
      </w:r>
    </w:p>
    <w:p w14:paraId="5E76407F">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 xml:space="preserve">① </w:t>
      </w:r>
      <w:r>
        <w:rPr>
          <w:rFonts w:hint="eastAsia"/>
          <w:color w:val="000000" w:themeColor="text1"/>
          <w:szCs w:val="21"/>
          <w14:textFill>
            <w14:solidFill>
              <w14:schemeClr w14:val="tx1"/>
            </w14:solidFill>
          </w14:textFill>
        </w:rPr>
        <w:t>根据《清单报价表》中的内容进行检测；</w:t>
      </w:r>
    </w:p>
    <w:p w14:paraId="4F21DD24">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 xml:space="preserve">② </w:t>
      </w:r>
      <w:r>
        <w:rPr>
          <w:rFonts w:hint="eastAsia"/>
          <w:color w:val="000000" w:themeColor="text1"/>
          <w:szCs w:val="21"/>
          <w14:textFill>
            <w14:solidFill>
              <w14:schemeClr w14:val="tx1"/>
            </w14:solidFill>
          </w14:textFill>
        </w:rPr>
        <w:t>根据相关主管部门要求，需要检测的其他内容；</w:t>
      </w:r>
    </w:p>
    <w:p w14:paraId="22DFA01B">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）报告编写：</w:t>
      </w:r>
    </w:p>
    <w:p w14:paraId="404C759F">
      <w:pPr>
        <w:pStyle w:val="23"/>
        <w:spacing w:line="440" w:lineRule="exact"/>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分析现场检测数据，根据国家、地方、行业相关规范出具检测报告及相关数据。</w:t>
      </w:r>
    </w:p>
    <w:p w14:paraId="5190091C">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eastAsia="宋体"/>
          <w:b/>
          <w:bCs/>
          <w:color w:val="000000" w:themeColor="text1"/>
          <w:szCs w:val="21"/>
          <w14:textFill>
            <w14:solidFill>
              <w14:schemeClr w14:val="tx1"/>
            </w14:solidFill>
          </w14:textFill>
        </w:rPr>
        <w:t>5、</w:t>
      </w:r>
      <w:r>
        <w:rPr>
          <w:rFonts w:hint="eastAsia" w:ascii="宋体" w:hAnsi="宋体" w:eastAsia="宋体" w:cs="Arial"/>
          <w:b/>
          <w:color w:val="000000" w:themeColor="text1"/>
          <w:szCs w:val="21"/>
          <w:lang w:val="zh-CN"/>
          <w14:textFill>
            <w14:solidFill>
              <w14:schemeClr w14:val="tx1"/>
            </w14:solidFill>
          </w14:textFill>
        </w:rPr>
        <w:t>其它要求及说明</w:t>
      </w:r>
    </w:p>
    <w:p w14:paraId="27A834EE">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项目以成交供应商报价为成交价格，成交供应商应按照需求中的品种、数量报价，成交价格已包含供应商提供的检测、鉴定方案全部内容和现行检测、鉴定相关规范、规定要求的本项目必须检测、鉴定所有工作（包括但不限于询价文件、清单报价表内容）所需的检测费、劳务费、材料费、仪器工具使用费、进退场费、交通费、差旅费、试验费、报告编写费、实物工作收费、技术工作收费、参加相关验收的费用、各项管理费，以及所有因对应标段服务工作应交纳的政府规费、利润、税金等全部费用。由于成交供应商原因漏报的项目，均视为成交供应商已计取，并已包含在报价中，采购人不予以追加。</w:t>
      </w:r>
    </w:p>
    <w:p w14:paraId="66A5CF69">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成交供应商须根据项目相关资料、规范和相关行政职能部门及采购人要求，结合项目实际情况，编制检测鉴定方案。成交供应商负责将检测鉴定方案报监理单位、设计单位、采购人等相关单位审批同意后实施，及时按方案及相关规定落实检测工作，并积极与工程相关的施工、监理、设计、咨询等相关单位协调，确保不因检测工作滞后影响本工程项目的建设进度和竣工验收，并负责按要求在相关平台报送检测数据（若需）；</w:t>
      </w:r>
    </w:p>
    <w:p w14:paraId="245BBEF7">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（3）成交供应商应当自采购人发出成交通知之日起7个日历天内，按照采购人提供的合同样本与采购人洽谈协商，签订书面合同。</w:t>
      </w:r>
    </w:p>
    <w:p w14:paraId="7E828AE3">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（4）采购人不提供住宿、食堂及办公场所，成交供应商必须严格遵守省、市、区及学校治安管理相关规定。</w:t>
      </w:r>
    </w:p>
    <w:p w14:paraId="7716E3AB">
      <w:pPr>
        <w:spacing w:line="44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（5）采购人不接受非成交供应商的查询，也不对不成交原因作出解释。</w:t>
      </w:r>
    </w:p>
    <w:p w14:paraId="4F63F4DA">
      <w:pPr>
        <w:spacing w:line="440" w:lineRule="exact"/>
        <w:ind w:firstLine="420" w:firstLineChars="200"/>
        <w:rPr>
          <w:rFonts w:hint="eastAsia" w:ascii="宋体" w:hAnsi="宋体" w:eastAsia="宋体" w:cs="宋体"/>
          <w:kern w:val="0"/>
          <w:sz w:val="21"/>
          <w:szCs w:val="21"/>
          <w:lang w:val="en-US" w:eastAsia="zh-CN" w:bidi="ar-SA"/>
        </w:rPr>
      </w:pPr>
      <w:r>
        <w:rPr>
          <w:rFonts w:hint="eastAsia"/>
          <w:color w:val="000000" w:themeColor="text1"/>
          <w:szCs w:val="21"/>
          <w:lang w:val="en-US" w:eastAsia="zh-CN"/>
          <w14:textFill>
            <w14:solidFill>
              <w14:schemeClr w14:val="tx1"/>
            </w14:solidFill>
          </w14:textFill>
        </w:rPr>
        <w:t>（6）</w:t>
      </w:r>
      <w:r>
        <w:rPr>
          <w:rFonts w:hint="eastAsia" w:ascii="宋体" w:hAnsi="宋体" w:eastAsia="宋体" w:cs="宋体"/>
          <w:kern w:val="0"/>
          <w:sz w:val="21"/>
          <w:szCs w:val="21"/>
          <w:lang w:val="en-US" w:eastAsia="zh-CN" w:bidi="ar-SA"/>
        </w:rPr>
        <w:t>本项目属于专门面向中小微企业采购的项目。</w:t>
      </w:r>
    </w:p>
    <w:p w14:paraId="7612204F">
      <w:pPr>
        <w:pStyle w:val="13"/>
        <w:rPr>
          <w:rFonts w:hint="eastAsia"/>
        </w:rPr>
      </w:pPr>
    </w:p>
    <w:p w14:paraId="795C713F">
      <w:pPr>
        <w:spacing w:line="440" w:lineRule="exact"/>
        <w:rPr>
          <w:rFonts w:ascii="宋体" w:hAnsi="宋体" w:eastAsia="宋体" w:cs="Arial"/>
          <w:b/>
          <w:color w:val="000000" w:themeColor="text1"/>
          <w:szCs w:val="21"/>
          <w:lang w:val="zh-CN"/>
          <w14:textFill>
            <w14:solidFill>
              <w14:schemeClr w14:val="tx1"/>
            </w14:solidFill>
          </w14:textFill>
        </w:rPr>
      </w:pPr>
      <w:r>
        <w:rPr>
          <w:rFonts w:hint="eastAsia" w:ascii="宋体" w:hAnsi="宋体" w:eastAsia="宋体" w:cs="Arial"/>
          <w:b/>
          <w:color w:val="000000" w:themeColor="text1"/>
          <w:szCs w:val="21"/>
          <w:lang w:val="zh-CN"/>
          <w14:textFill>
            <w14:solidFill>
              <w14:schemeClr w14:val="tx1"/>
            </w14:solidFill>
          </w14:textFill>
        </w:rPr>
        <w:t>四、评议办法</w:t>
      </w:r>
    </w:p>
    <w:p w14:paraId="076A16FF">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评议时不须供应商参加，根据询价文件要求及报价文件内容进行评议，在满足采购需求的前提下，按“价低者得”的原则确定成交供应商，报价最低的供应商为成交供应商，若多家供应商报价相同且最低，则其中《报价一览表》中填报的下浮率最大者为成交供应商。评议工作结束后，评议结果将在广州大学采购管理信息平台网站进行公告。</w:t>
      </w:r>
    </w:p>
    <w:p w14:paraId="0073834E">
      <w:pPr>
        <w:rPr>
          <w:rFonts w:ascii="宋体" w:hAnsi="宋体" w:cs="Arial"/>
          <w:b/>
          <w:bCs/>
          <w:color w:val="000000" w:themeColor="text1"/>
          <w:sz w:val="28"/>
          <w:szCs w:val="28"/>
          <w:lang w:val="zh-CN"/>
          <w14:textFill>
            <w14:solidFill>
              <w14:schemeClr w14:val="tx1"/>
            </w14:solidFill>
          </w14:textFill>
        </w:rPr>
      </w:pPr>
      <w:r>
        <w:rPr>
          <w:rFonts w:hint="eastAsia" w:ascii="宋体" w:hAnsi="宋体" w:cs="Arial"/>
          <w:b/>
          <w:bCs/>
          <w:color w:val="000000" w:themeColor="text1"/>
          <w:sz w:val="28"/>
          <w:szCs w:val="28"/>
          <w:lang w:val="zh-CN"/>
          <w14:textFill>
            <w14:solidFill>
              <w14:schemeClr w14:val="tx1"/>
            </w14:solidFill>
          </w14:textFill>
        </w:rPr>
        <w:br w:type="page"/>
      </w:r>
    </w:p>
    <w:p w14:paraId="4E1C5255">
      <w:pPr>
        <w:spacing w:line="440" w:lineRule="exact"/>
        <w:ind w:firstLine="843" w:firstLineChars="300"/>
        <w:jc w:val="center"/>
        <w:rPr>
          <w:rFonts w:ascii="宋体" w:hAnsi="宋体"/>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lang w:val="zh-CN"/>
          <w14:textFill>
            <w14:solidFill>
              <w14:schemeClr w14:val="tx1"/>
            </w14:solidFill>
          </w14:textFill>
        </w:rPr>
        <w:t>格式1</w:t>
      </w:r>
      <w:r>
        <w:rPr>
          <w:rFonts w:hint="eastAsia" w:ascii="宋体" w:hAnsi="宋体"/>
          <w:b/>
          <w:bCs/>
          <w:color w:val="000000" w:themeColor="text1"/>
          <w:sz w:val="28"/>
          <w:szCs w:val="28"/>
          <w14:textFill>
            <w14:solidFill>
              <w14:schemeClr w14:val="tx1"/>
            </w14:solidFill>
          </w14:textFill>
        </w:rPr>
        <w:t xml:space="preserve"> 报价函</w:t>
      </w:r>
    </w:p>
    <w:p w14:paraId="26D356B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广州大学：</w:t>
      </w:r>
    </w:p>
    <w:p w14:paraId="4AF4BD27">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我方收到贵方关于“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”的采购文件，完全理解采购文件的所有内容。决定报价本项目，报价为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元，据此我方承诺如下：</w:t>
      </w:r>
    </w:p>
    <w:p w14:paraId="1BAD44D0">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一、我方的报价文件在报价截止日后90天（日历天）内保持有效，如成交，有效期将延至本项目《采购合同》执行期满日为止。</w:t>
      </w:r>
    </w:p>
    <w:p w14:paraId="01A181C1">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r>
        <w:rPr>
          <w:rFonts w:ascii="宋体" w:hAnsi="宋体"/>
          <w:color w:val="000000" w:themeColor="text1"/>
          <w:sz w:val="24"/>
          <w14:textFill>
            <w14:solidFill>
              <w14:schemeClr w14:val="tx1"/>
            </w14:solidFill>
          </w14:textFill>
        </w:rPr>
        <w:t>我方在参与报价前已仔细研究了采购文件和所有相关资料，我方完全明白并认为此采购文件没有倾向性，也没有存在排斥潜在供应商的内容，我方同意采购文件的相关条款，放弃对采购文件提出误解</w:t>
      </w:r>
      <w:r>
        <w:rPr>
          <w:rFonts w:hint="eastAsia" w:ascii="宋体" w:hAnsi="宋体"/>
          <w:color w:val="000000" w:themeColor="text1"/>
          <w:sz w:val="24"/>
          <w14:textFill>
            <w14:solidFill>
              <w14:schemeClr w14:val="tx1"/>
            </w14:solidFill>
          </w14:textFill>
        </w:rPr>
        <w:t>和异议</w:t>
      </w:r>
      <w:r>
        <w:rPr>
          <w:rFonts w:ascii="宋体" w:hAnsi="宋体"/>
          <w:color w:val="000000" w:themeColor="text1"/>
          <w:sz w:val="24"/>
          <w14:textFill>
            <w14:solidFill>
              <w14:schemeClr w14:val="tx1"/>
            </w14:solidFill>
          </w14:textFill>
        </w:rPr>
        <w:t>的一切权</w:t>
      </w:r>
      <w:r>
        <w:rPr>
          <w:rFonts w:hint="eastAsia" w:ascii="宋体" w:hAnsi="宋体"/>
          <w:color w:val="000000" w:themeColor="text1"/>
          <w:sz w:val="24"/>
          <w14:textFill>
            <w14:solidFill>
              <w14:schemeClr w14:val="tx1"/>
            </w14:solidFill>
          </w14:textFill>
        </w:rPr>
        <w:t>利</w:t>
      </w:r>
      <w:r>
        <w:rPr>
          <w:rFonts w:ascii="宋体" w:hAnsi="宋体"/>
          <w:color w:val="000000" w:themeColor="text1"/>
          <w:sz w:val="24"/>
          <w14:textFill>
            <w14:solidFill>
              <w14:schemeClr w14:val="tx1"/>
            </w14:solidFill>
          </w14:textFill>
        </w:rPr>
        <w:t>。</w:t>
      </w:r>
    </w:p>
    <w:p w14:paraId="10BD70C4">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三、我方声明报价文件及所提供的一切资料均真实无误及有效。由于我方提供资料不实而造成的责任和后果由我方承担。我方同意按照贵方提出的要求，提供与报价有关的任何其它数据或信息。</w:t>
      </w:r>
    </w:p>
    <w:p w14:paraId="4DBB41A7">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四、我方理解贵方不一定接受最低报价的报价。</w:t>
      </w:r>
    </w:p>
    <w:p w14:paraId="2132D215">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五、我方同意如在本项目开标后、报价有效期之内撤回报价，或成交后未在规定期限内签订合同并送贵方备案的，贵方将不退还报价保证金。</w:t>
      </w:r>
    </w:p>
    <w:p w14:paraId="442BF069">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六、我方如果成交，保证履行报价文件中承诺的全部责任和义务，切实履行采购合同中的全部条款。</w:t>
      </w:r>
    </w:p>
    <w:p w14:paraId="1FE2D9F6">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0B7B48A8">
      <w:pPr>
        <w:tabs>
          <w:tab w:val="left" w:pos="9450"/>
        </w:tabs>
        <w:spacing w:line="336" w:lineRule="auto"/>
        <w:ind w:right="84" w:rightChars="4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八、所有与本采购项目有关的函件请发往下列地址：</w:t>
      </w:r>
    </w:p>
    <w:tbl>
      <w:tblPr>
        <w:tblStyle w:val="1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14:paraId="65B8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10940E5A">
            <w:pPr>
              <w:tabs>
                <w:tab w:val="left" w:pos="0"/>
              </w:tabs>
              <w:spacing w:line="360" w:lineRule="auto"/>
              <w:ind w:right="25" w:right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地址（邮编）</w:t>
            </w:r>
          </w:p>
        </w:tc>
        <w:tc>
          <w:tcPr>
            <w:tcW w:w="5220" w:type="dxa"/>
            <w:gridSpan w:val="2"/>
          </w:tcPr>
          <w:p w14:paraId="1028CA3F">
            <w:pPr>
              <w:tabs>
                <w:tab w:val="left" w:pos="0"/>
              </w:tabs>
              <w:spacing w:line="360" w:lineRule="auto"/>
              <w:ind w:right="25" w:rightChars="12"/>
              <w:rPr>
                <w:rFonts w:ascii="宋体" w:hAnsi="宋体"/>
                <w:color w:val="000000" w:themeColor="text1"/>
                <w:sz w:val="24"/>
                <w14:textFill>
                  <w14:solidFill>
                    <w14:schemeClr w14:val="tx1"/>
                  </w14:solidFill>
                </w14:textFill>
              </w:rPr>
            </w:pPr>
          </w:p>
        </w:tc>
        <w:tc>
          <w:tcPr>
            <w:tcW w:w="900" w:type="dxa"/>
          </w:tcPr>
          <w:p w14:paraId="12CCF20A">
            <w:pPr>
              <w:tabs>
                <w:tab w:val="left" w:pos="0"/>
              </w:tabs>
              <w:spacing w:line="360" w:lineRule="auto"/>
              <w:ind w:right="25" w:right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280" w:type="dxa"/>
          </w:tcPr>
          <w:p w14:paraId="6B86661C">
            <w:pPr>
              <w:tabs>
                <w:tab w:val="left" w:pos="0"/>
              </w:tabs>
              <w:spacing w:line="360" w:lineRule="auto"/>
              <w:ind w:right="25" w:rightChars="12"/>
              <w:rPr>
                <w:rFonts w:ascii="宋体" w:hAnsi="宋体"/>
                <w:color w:val="000000" w:themeColor="text1"/>
                <w:sz w:val="24"/>
                <w14:textFill>
                  <w14:solidFill>
                    <w14:schemeClr w14:val="tx1"/>
                  </w14:solidFill>
                </w14:textFill>
              </w:rPr>
            </w:pPr>
          </w:p>
        </w:tc>
      </w:tr>
      <w:tr w14:paraId="7DDA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6FDBA657">
            <w:pPr>
              <w:tabs>
                <w:tab w:val="left" w:pos="0"/>
              </w:tabs>
              <w:spacing w:line="360" w:lineRule="auto"/>
              <w:ind w:right="25" w:right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电话、手机</w:t>
            </w:r>
          </w:p>
        </w:tc>
        <w:tc>
          <w:tcPr>
            <w:tcW w:w="3420" w:type="dxa"/>
          </w:tcPr>
          <w:p w14:paraId="5F4D2384">
            <w:pPr>
              <w:tabs>
                <w:tab w:val="left" w:pos="0"/>
              </w:tabs>
              <w:spacing w:line="360" w:lineRule="auto"/>
              <w:ind w:right="25" w:rightChars="12"/>
              <w:rPr>
                <w:rFonts w:ascii="宋体" w:hAnsi="宋体"/>
                <w:color w:val="000000" w:themeColor="text1"/>
                <w:sz w:val="24"/>
                <w14:textFill>
                  <w14:solidFill>
                    <w14:schemeClr w14:val="tx1"/>
                  </w14:solidFill>
                </w14:textFill>
              </w:rPr>
            </w:pPr>
          </w:p>
        </w:tc>
        <w:tc>
          <w:tcPr>
            <w:tcW w:w="1800" w:type="dxa"/>
          </w:tcPr>
          <w:p w14:paraId="4166AC48">
            <w:pPr>
              <w:tabs>
                <w:tab w:val="left" w:pos="0"/>
              </w:tabs>
              <w:spacing w:line="360" w:lineRule="auto"/>
              <w:ind w:right="25" w:right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联系人（职务）</w:t>
            </w:r>
          </w:p>
        </w:tc>
        <w:tc>
          <w:tcPr>
            <w:tcW w:w="2180" w:type="dxa"/>
            <w:gridSpan w:val="2"/>
          </w:tcPr>
          <w:p w14:paraId="0B46CDB1">
            <w:pPr>
              <w:tabs>
                <w:tab w:val="left" w:pos="0"/>
              </w:tabs>
              <w:spacing w:line="360" w:lineRule="auto"/>
              <w:ind w:right="25" w:rightChars="12"/>
              <w:rPr>
                <w:rFonts w:ascii="宋体" w:hAnsi="宋体"/>
                <w:color w:val="000000" w:themeColor="text1"/>
                <w:sz w:val="24"/>
                <w14:textFill>
                  <w14:solidFill>
                    <w14:schemeClr w14:val="tx1"/>
                  </w14:solidFill>
                </w14:textFill>
              </w:rPr>
            </w:pPr>
          </w:p>
        </w:tc>
      </w:tr>
    </w:tbl>
    <w:p w14:paraId="01E1AB0D">
      <w:pPr>
        <w:spacing w:line="360" w:lineRule="auto"/>
        <w:ind w:right="84" w:rightChars="40" w:firstLine="4080" w:firstLineChars="1700"/>
        <w:rPr>
          <w:rFonts w:ascii="宋体" w:hAnsi="宋体"/>
          <w:color w:val="000000" w:themeColor="text1"/>
          <w:sz w:val="24"/>
          <w14:textFill>
            <w14:solidFill>
              <w14:schemeClr w14:val="tx1"/>
            </w14:solidFill>
          </w14:textFill>
        </w:rPr>
      </w:pPr>
    </w:p>
    <w:p w14:paraId="36889D43">
      <w:pPr>
        <w:spacing w:line="360" w:lineRule="auto"/>
        <w:ind w:right="84" w:rightChars="40" w:firstLine="5040" w:firstLineChars="2400"/>
        <w:rPr>
          <w:rFonts w:ascii="宋体" w:hAnsi="宋体"/>
          <w:color w:val="000000" w:themeColor="text1"/>
          <w:sz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：（盖章）</w:t>
      </w:r>
    </w:p>
    <w:p w14:paraId="0EB0A63A">
      <w:pPr>
        <w:spacing w:line="360" w:lineRule="auto"/>
        <w:ind w:right="84" w:rightChars="40" w:firstLine="4080" w:firstLineChars="17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承诺日期：</w:t>
      </w:r>
      <w:r>
        <w:rPr>
          <w:rFonts w:hint="eastAsia" w:ascii="宋体" w:hAnsi="宋体" w:cs="Arial"/>
          <w:color w:val="000000" w:themeColor="text1"/>
          <w:sz w:val="24"/>
          <w14:textFill>
            <w14:solidFill>
              <w14:schemeClr w14:val="tx1"/>
            </w14:solidFill>
          </w14:textFill>
        </w:rPr>
        <w:t>20  年   月   日</w:t>
      </w:r>
    </w:p>
    <w:p w14:paraId="4BF52737">
      <w:pPr>
        <w:spacing w:line="360" w:lineRule="auto"/>
        <w:ind w:right="84" w:rightChars="40" w:firstLine="4080" w:firstLineChars="1700"/>
        <w:rPr>
          <w:rFonts w:ascii="宋体" w:hAnsi="宋体"/>
          <w:color w:val="000000" w:themeColor="text1"/>
          <w:sz w:val="24"/>
          <w14:textFill>
            <w14:solidFill>
              <w14:schemeClr w14:val="tx1"/>
            </w14:solidFill>
          </w14:textFill>
        </w:rPr>
      </w:pPr>
    </w:p>
    <w:p w14:paraId="6D6E99EB">
      <w:pPr>
        <w:spacing w:line="360" w:lineRule="auto"/>
        <w:ind w:right="84" w:rightChars="4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说明：</w:t>
      </w:r>
      <w:r>
        <w:rPr>
          <w:rFonts w:ascii="宋体" w:hAnsi="宋体" w:cs="Arial"/>
          <w:bCs/>
          <w:color w:val="000000" w:themeColor="text1"/>
          <w:sz w:val="24"/>
          <w14:textFill>
            <w14:solidFill>
              <w14:schemeClr w14:val="tx1"/>
            </w14:solidFill>
          </w14:textFill>
        </w:rPr>
        <w:t>本格式文件内容不得擅自删改。</w:t>
      </w:r>
    </w:p>
    <w:p w14:paraId="6F06EBD7">
      <w:pPr>
        <w:pStyle w:val="13"/>
        <w:ind w:firstLine="240"/>
        <w:rPr>
          <w:color w:val="000000" w:themeColor="text1"/>
          <w14:textFill>
            <w14:solidFill>
              <w14:schemeClr w14:val="tx1"/>
            </w14:solidFill>
          </w14:textFill>
        </w:rPr>
      </w:pPr>
    </w:p>
    <w:p w14:paraId="2A4895E5">
      <w:pPr>
        <w:spacing w:line="44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Arial"/>
          <w:b/>
          <w:bCs/>
          <w:color w:val="000000" w:themeColor="text1"/>
          <w:sz w:val="28"/>
          <w:szCs w:val="28"/>
          <w:lang w:val="zh-CN"/>
          <w14:textFill>
            <w14:solidFill>
              <w14:schemeClr w14:val="tx1"/>
            </w14:solidFill>
          </w14:textFill>
        </w:rPr>
        <w:t xml:space="preserve">格式2 </w:t>
      </w:r>
      <w:r>
        <w:rPr>
          <w:rFonts w:hint="eastAsia" w:ascii="宋体" w:hAnsi="宋体" w:eastAsia="宋体" w:cs="Times New Roman"/>
          <w:b/>
          <w:bCs/>
          <w:color w:val="000000" w:themeColor="text1"/>
          <w:sz w:val="28"/>
          <w:szCs w:val="28"/>
          <w14:textFill>
            <w14:solidFill>
              <w14:schemeClr w14:val="tx1"/>
            </w14:solidFill>
          </w14:textFill>
        </w:rPr>
        <w:tab/>
      </w:r>
      <w:r>
        <w:rPr>
          <w:rFonts w:hint="eastAsia" w:ascii="宋体" w:hAnsi="宋体" w:eastAsia="宋体" w:cs="Times New Roman"/>
          <w:b/>
          <w:bCs/>
          <w:color w:val="000000" w:themeColor="text1"/>
          <w:sz w:val="28"/>
          <w:szCs w:val="28"/>
          <w14:textFill>
            <w14:solidFill>
              <w14:schemeClr w14:val="tx1"/>
            </w14:solidFill>
          </w14:textFill>
        </w:rPr>
        <w:t>报价一览表及清单报价表</w:t>
      </w:r>
    </w:p>
    <w:p w14:paraId="7FBD8F1A">
      <w:pPr>
        <w:spacing w:line="440" w:lineRule="exact"/>
        <w:jc w:val="center"/>
        <w:rPr>
          <w:rFonts w:ascii="宋体" w:hAnsi="宋体" w:eastAsia="宋体" w:cs="Times New Roman"/>
          <w:b/>
          <w:bCs/>
          <w:color w:val="000000" w:themeColor="text1"/>
          <w:sz w:val="28"/>
          <w:szCs w:val="28"/>
          <w14:textFill>
            <w14:solidFill>
              <w14:schemeClr w14:val="tx1"/>
            </w14:solidFill>
          </w14:textFill>
        </w:rPr>
      </w:pPr>
    </w:p>
    <w:p w14:paraId="45C54BA6">
      <w:pPr>
        <w:spacing w:line="44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报价一览表</w:t>
      </w:r>
    </w:p>
    <w:p w14:paraId="07330339">
      <w:pPr>
        <w:widowControl/>
        <w:adjustRightInd w:val="0"/>
        <w:snapToGrid w:val="0"/>
        <w:spacing w:line="360" w:lineRule="auto"/>
        <w:jc w:val="left"/>
        <w:rPr>
          <w:rFonts w:ascii="宋体" w:hAnsi="宋体" w:eastAsia="宋体" w:cs="Times New Roman"/>
          <w:color w:val="000000" w:themeColor="text1"/>
          <w:kern w:val="0"/>
          <w:szCs w:val="21"/>
          <w14:textFill>
            <w14:solidFill>
              <w14:schemeClr w14:val="tx1"/>
            </w14:solidFill>
          </w14:textFill>
        </w:rPr>
      </w:pPr>
    </w:p>
    <w:p w14:paraId="574C426C">
      <w:pPr>
        <w:widowControl/>
        <w:adjustRightInd w:val="0"/>
        <w:snapToGrid w:val="0"/>
        <w:spacing w:line="360" w:lineRule="auto"/>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采购项目名称：广州大学2024年大学城校区毕业生宿舍维修翻新工程检测服务</w:t>
      </w:r>
    </w:p>
    <w:p w14:paraId="7866524D">
      <w:pPr>
        <w:widowControl/>
        <w:adjustRightInd w:val="0"/>
        <w:snapToGrid w:val="0"/>
        <w:spacing w:line="360" w:lineRule="auto"/>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 xml:space="preserve">货币单位：人民币元 </w:t>
      </w:r>
    </w:p>
    <w:tbl>
      <w:tblPr>
        <w:tblStyle w:val="14"/>
        <w:tblW w:w="8151" w:type="dxa"/>
        <w:tblInd w:w="133" w:type="dxa"/>
        <w:tblLayout w:type="fixed"/>
        <w:tblCellMar>
          <w:top w:w="0" w:type="dxa"/>
          <w:left w:w="30" w:type="dxa"/>
          <w:bottom w:w="0" w:type="dxa"/>
          <w:right w:w="30" w:type="dxa"/>
        </w:tblCellMar>
      </w:tblPr>
      <w:tblGrid>
        <w:gridCol w:w="713"/>
        <w:gridCol w:w="2126"/>
        <w:gridCol w:w="3851"/>
        <w:gridCol w:w="1461"/>
      </w:tblGrid>
      <w:tr w14:paraId="093A3D46">
        <w:tblPrEx>
          <w:tblCellMar>
            <w:top w:w="0" w:type="dxa"/>
            <w:left w:w="30" w:type="dxa"/>
            <w:bottom w:w="0" w:type="dxa"/>
            <w:right w:w="30" w:type="dxa"/>
          </w:tblCellMar>
        </w:tblPrEx>
        <w:trPr>
          <w:cantSplit/>
          <w:trHeight w:val="870" w:hRule="atLeast"/>
        </w:trPr>
        <w:tc>
          <w:tcPr>
            <w:tcW w:w="713" w:type="dxa"/>
            <w:tcBorders>
              <w:top w:val="single" w:color="auto" w:sz="4" w:space="0"/>
              <w:left w:val="single" w:color="auto" w:sz="4" w:space="0"/>
              <w:bottom w:val="single" w:color="auto" w:sz="4" w:space="0"/>
              <w:right w:val="single" w:color="auto" w:sz="4" w:space="0"/>
            </w:tcBorders>
            <w:vAlign w:val="center"/>
          </w:tcPr>
          <w:p w14:paraId="3DC999E4">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21D6429">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tc>
        <w:tc>
          <w:tcPr>
            <w:tcW w:w="3851" w:type="dxa"/>
            <w:tcBorders>
              <w:top w:val="single" w:color="auto" w:sz="4" w:space="0"/>
              <w:left w:val="single" w:color="auto" w:sz="4" w:space="0"/>
              <w:bottom w:val="single" w:color="auto" w:sz="4" w:space="0"/>
              <w:right w:val="single" w:color="auto" w:sz="4" w:space="0"/>
            </w:tcBorders>
            <w:vAlign w:val="center"/>
          </w:tcPr>
          <w:p w14:paraId="59E11D84">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价</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格</w:t>
            </w:r>
          </w:p>
        </w:tc>
        <w:tc>
          <w:tcPr>
            <w:tcW w:w="1461" w:type="dxa"/>
            <w:tcBorders>
              <w:top w:val="single" w:color="auto" w:sz="4" w:space="0"/>
              <w:left w:val="single" w:color="auto" w:sz="4" w:space="0"/>
              <w:bottom w:val="single" w:color="auto" w:sz="4" w:space="0"/>
              <w:right w:val="single" w:color="auto" w:sz="4" w:space="0"/>
            </w:tcBorders>
            <w:vAlign w:val="center"/>
          </w:tcPr>
          <w:p w14:paraId="48D100B6">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注</w:t>
            </w:r>
          </w:p>
        </w:tc>
      </w:tr>
      <w:tr w14:paraId="3E912650">
        <w:tblPrEx>
          <w:tblCellMar>
            <w:top w:w="0" w:type="dxa"/>
            <w:left w:w="30" w:type="dxa"/>
            <w:bottom w:w="0" w:type="dxa"/>
            <w:right w:w="30" w:type="dxa"/>
          </w:tblCellMar>
        </w:tblPrEx>
        <w:trPr>
          <w:cantSplit/>
          <w:trHeight w:val="716" w:hRule="atLeast"/>
        </w:trPr>
        <w:tc>
          <w:tcPr>
            <w:tcW w:w="713" w:type="dxa"/>
            <w:tcBorders>
              <w:top w:val="single" w:color="auto" w:sz="4" w:space="0"/>
              <w:left w:val="single" w:color="auto" w:sz="4" w:space="0"/>
              <w:bottom w:val="single" w:color="auto" w:sz="4" w:space="0"/>
              <w:right w:val="single" w:color="auto" w:sz="4" w:space="0"/>
            </w:tcBorders>
            <w:vAlign w:val="center"/>
          </w:tcPr>
          <w:p w14:paraId="230A7D26">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126" w:type="dxa"/>
            <w:tcBorders>
              <w:top w:val="single" w:color="auto" w:sz="4" w:space="0"/>
              <w:left w:val="nil"/>
              <w:bottom w:val="single" w:color="auto" w:sz="4" w:space="0"/>
              <w:right w:val="single" w:color="auto" w:sz="4" w:space="0"/>
            </w:tcBorders>
            <w:vAlign w:val="center"/>
          </w:tcPr>
          <w:p w14:paraId="54C81F1D">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暂列金</w:t>
            </w:r>
          </w:p>
        </w:tc>
        <w:tc>
          <w:tcPr>
            <w:tcW w:w="3851" w:type="dxa"/>
            <w:tcBorders>
              <w:top w:val="single" w:color="auto" w:sz="4" w:space="0"/>
              <w:left w:val="single" w:color="auto" w:sz="4" w:space="0"/>
              <w:bottom w:val="single" w:color="auto" w:sz="4" w:space="0"/>
              <w:right w:val="single" w:color="auto" w:sz="4" w:space="0"/>
            </w:tcBorders>
            <w:vAlign w:val="center"/>
          </w:tcPr>
          <w:p w14:paraId="205E84B3">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000</w:t>
            </w:r>
          </w:p>
        </w:tc>
        <w:tc>
          <w:tcPr>
            <w:tcW w:w="1461" w:type="dxa"/>
            <w:tcBorders>
              <w:top w:val="single" w:color="auto" w:sz="4" w:space="0"/>
              <w:left w:val="single" w:color="auto" w:sz="4" w:space="0"/>
              <w:bottom w:val="single" w:color="auto" w:sz="4" w:space="0"/>
              <w:right w:val="single" w:color="auto" w:sz="4" w:space="0"/>
            </w:tcBorders>
            <w:vAlign w:val="center"/>
          </w:tcPr>
          <w:p w14:paraId="40F813F9">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不可竞争费用</w:t>
            </w:r>
          </w:p>
        </w:tc>
      </w:tr>
      <w:tr w14:paraId="3ABE2D41">
        <w:tblPrEx>
          <w:tblCellMar>
            <w:top w:w="0" w:type="dxa"/>
            <w:left w:w="30" w:type="dxa"/>
            <w:bottom w:w="0" w:type="dxa"/>
            <w:right w:w="30" w:type="dxa"/>
          </w:tblCellMar>
        </w:tblPrEx>
        <w:trPr>
          <w:cantSplit/>
          <w:trHeight w:val="716" w:hRule="atLeast"/>
        </w:trPr>
        <w:tc>
          <w:tcPr>
            <w:tcW w:w="713" w:type="dxa"/>
            <w:tcBorders>
              <w:top w:val="single" w:color="auto" w:sz="4" w:space="0"/>
              <w:left w:val="single" w:color="auto" w:sz="4" w:space="0"/>
              <w:bottom w:val="single" w:color="auto" w:sz="4" w:space="0"/>
              <w:right w:val="single" w:color="auto" w:sz="4" w:space="0"/>
            </w:tcBorders>
            <w:vAlign w:val="center"/>
          </w:tcPr>
          <w:p w14:paraId="67C8D70A">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2126" w:type="dxa"/>
            <w:tcBorders>
              <w:top w:val="single" w:color="auto" w:sz="4" w:space="0"/>
              <w:left w:val="nil"/>
              <w:bottom w:val="single" w:color="auto" w:sz="4" w:space="0"/>
              <w:right w:val="single" w:color="auto" w:sz="4" w:space="0"/>
            </w:tcBorders>
            <w:vAlign w:val="center"/>
          </w:tcPr>
          <w:p w14:paraId="12ABC954">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下浮率</w:t>
            </w:r>
          </w:p>
        </w:tc>
        <w:tc>
          <w:tcPr>
            <w:tcW w:w="3851" w:type="dxa"/>
            <w:tcBorders>
              <w:top w:val="single" w:color="auto" w:sz="4" w:space="0"/>
              <w:left w:val="single" w:color="auto" w:sz="4" w:space="0"/>
              <w:bottom w:val="single" w:color="auto" w:sz="4" w:space="0"/>
              <w:right w:val="single" w:color="auto" w:sz="4" w:space="0"/>
            </w:tcBorders>
            <w:vAlign w:val="center"/>
          </w:tcPr>
          <w:p w14:paraId="31D3C68F">
            <w:pPr>
              <w:autoSpaceDE w:val="0"/>
              <w:autoSpaceDN w:val="0"/>
              <w:adjustRightInd w:val="0"/>
              <w:spacing w:line="420" w:lineRule="exact"/>
              <w:ind w:left="3977" w:leftChars="84" w:hanging="3801" w:hangingChars="1810"/>
              <w:rPr>
                <w:rFonts w:ascii="宋体" w:hAnsi="宋体" w:eastAsia="宋体" w:cs="Times New Roman"/>
                <w:color w:val="000000" w:themeColor="text1"/>
                <w:kern w:val="0"/>
                <w:szCs w:val="21"/>
                <w14:textFill>
                  <w14:solidFill>
                    <w14:schemeClr w14:val="tx1"/>
                  </w14:solidFill>
                </w14:textFill>
              </w:rPr>
            </w:pPr>
          </w:p>
        </w:tc>
        <w:tc>
          <w:tcPr>
            <w:tcW w:w="1461" w:type="dxa"/>
            <w:tcBorders>
              <w:top w:val="single" w:color="auto" w:sz="4" w:space="0"/>
              <w:left w:val="single" w:color="auto" w:sz="4" w:space="0"/>
              <w:bottom w:val="single" w:color="auto" w:sz="4" w:space="0"/>
              <w:right w:val="single" w:color="auto" w:sz="4" w:space="0"/>
            </w:tcBorders>
            <w:vAlign w:val="center"/>
          </w:tcPr>
          <w:p w14:paraId="58480F3A">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0"/>
                <w14:textFill>
                  <w14:solidFill>
                    <w14:schemeClr w14:val="tx1"/>
                  </w14:solidFill>
                </w14:textFill>
              </w:rPr>
              <w:t>不得少于3</w:t>
            </w:r>
            <w:r>
              <w:rPr>
                <w:rFonts w:ascii="宋体" w:hAnsi="宋体" w:eastAsia="宋体" w:cs="Times New Roman"/>
                <w:color w:val="000000" w:themeColor="text1"/>
                <w:kern w:val="0"/>
                <w:szCs w:val="20"/>
                <w14:textFill>
                  <w14:solidFill>
                    <w14:schemeClr w14:val="tx1"/>
                  </w14:solidFill>
                </w14:textFill>
              </w:rPr>
              <w:t>0%</w:t>
            </w:r>
          </w:p>
        </w:tc>
      </w:tr>
      <w:tr w14:paraId="5367E2D0">
        <w:tblPrEx>
          <w:tblCellMar>
            <w:top w:w="0" w:type="dxa"/>
            <w:left w:w="30" w:type="dxa"/>
            <w:bottom w:w="0" w:type="dxa"/>
            <w:right w:w="30" w:type="dxa"/>
          </w:tblCellMar>
        </w:tblPrEx>
        <w:trPr>
          <w:cantSplit/>
          <w:trHeight w:val="1226" w:hRule="atLeast"/>
        </w:trPr>
        <w:tc>
          <w:tcPr>
            <w:tcW w:w="713" w:type="dxa"/>
            <w:tcBorders>
              <w:top w:val="single" w:color="auto" w:sz="4" w:space="0"/>
              <w:left w:val="single" w:color="auto" w:sz="4" w:space="0"/>
              <w:bottom w:val="single" w:color="auto" w:sz="4" w:space="0"/>
              <w:right w:val="single" w:color="auto" w:sz="4" w:space="0"/>
            </w:tcBorders>
            <w:vAlign w:val="center"/>
          </w:tcPr>
          <w:p w14:paraId="3FB7D7B9">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126" w:type="dxa"/>
            <w:tcBorders>
              <w:top w:val="single" w:color="auto" w:sz="4" w:space="0"/>
              <w:left w:val="single" w:color="auto" w:sz="4" w:space="0"/>
              <w:bottom w:val="single" w:color="auto" w:sz="4" w:space="0"/>
              <w:right w:val="single" w:color="auto" w:sz="4" w:space="0"/>
            </w:tcBorders>
            <w:vAlign w:val="center"/>
          </w:tcPr>
          <w:p w14:paraId="3B125521">
            <w:pPr>
              <w:autoSpaceDE w:val="0"/>
              <w:autoSpaceDN w:val="0"/>
              <w:adjustRightInd w:val="0"/>
              <w:spacing w:line="4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w:t>
            </w:r>
          </w:p>
        </w:tc>
        <w:tc>
          <w:tcPr>
            <w:tcW w:w="3851" w:type="dxa"/>
            <w:tcBorders>
              <w:top w:val="single" w:color="auto" w:sz="4" w:space="0"/>
              <w:left w:val="single" w:color="auto" w:sz="4" w:space="0"/>
              <w:bottom w:val="single" w:color="auto" w:sz="4" w:space="0"/>
              <w:right w:val="single" w:color="auto" w:sz="4" w:space="0"/>
            </w:tcBorders>
            <w:vAlign w:val="center"/>
          </w:tcPr>
          <w:p w14:paraId="650B11C6">
            <w:pPr>
              <w:autoSpaceDE w:val="0"/>
              <w:autoSpaceDN w:val="0"/>
              <w:adjustRightInd w:val="0"/>
              <w:spacing w:line="420" w:lineRule="exact"/>
              <w:ind w:left="3977" w:leftChars="84" w:hanging="3801" w:hangingChars="1810"/>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小写：</w:t>
            </w:r>
          </w:p>
          <w:p w14:paraId="07A694F5">
            <w:pPr>
              <w:autoSpaceDE w:val="0"/>
              <w:autoSpaceDN w:val="0"/>
              <w:adjustRightInd w:val="0"/>
              <w:spacing w:line="420" w:lineRule="exact"/>
              <w:ind w:left="3977" w:leftChars="84" w:hanging="3801" w:hangingChars="1810"/>
              <w:rPr>
                <w:rFonts w:ascii="宋体" w:hAnsi="宋体"/>
                <w:b/>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大写：</w:t>
            </w:r>
          </w:p>
        </w:tc>
        <w:tc>
          <w:tcPr>
            <w:tcW w:w="1461" w:type="dxa"/>
            <w:tcBorders>
              <w:top w:val="single" w:color="auto" w:sz="4" w:space="0"/>
              <w:left w:val="single" w:color="auto" w:sz="4" w:space="0"/>
              <w:bottom w:val="single" w:color="auto" w:sz="4" w:space="0"/>
              <w:right w:val="single" w:color="auto" w:sz="4" w:space="0"/>
            </w:tcBorders>
            <w:vAlign w:val="center"/>
          </w:tcPr>
          <w:p w14:paraId="7B28926D">
            <w:pPr>
              <w:autoSpaceDE w:val="0"/>
              <w:autoSpaceDN w:val="0"/>
              <w:adjustRightInd w:val="0"/>
              <w:spacing w:line="420" w:lineRule="exact"/>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（含暂列金）</w:t>
            </w:r>
          </w:p>
        </w:tc>
      </w:tr>
    </w:tbl>
    <w:p w14:paraId="3401722A">
      <w:pPr>
        <w:widowControl/>
        <w:tabs>
          <w:tab w:val="left" w:pos="7755"/>
        </w:tabs>
        <w:spacing w:line="360" w:lineRule="auto"/>
        <w:ind w:left="743" w:hanging="743" w:hangingChars="354"/>
        <w:jc w:val="left"/>
        <w:rPr>
          <w:rFonts w:ascii="宋体" w:hAnsi="宋体" w:eastAsia="宋体" w:cs="Times New Roman"/>
          <w:color w:val="000000" w:themeColor="text1"/>
          <w:kern w:val="0"/>
          <w:szCs w:val="20"/>
          <w14:textFill>
            <w14:solidFill>
              <w14:schemeClr w14:val="tx1"/>
            </w14:solidFill>
          </w14:textFill>
        </w:rPr>
      </w:pPr>
      <w:r>
        <w:rPr>
          <w:rFonts w:hint="eastAsia" w:ascii="宋体" w:hAnsi="宋体" w:eastAsia="宋体" w:cs="Times New Roman"/>
          <w:color w:val="000000" w:themeColor="text1"/>
          <w:kern w:val="0"/>
          <w:szCs w:val="20"/>
          <w14:textFill>
            <w14:solidFill>
              <w14:schemeClr w14:val="tx1"/>
            </w14:solidFill>
          </w14:textFill>
        </w:rPr>
        <w:t>注：</w:t>
      </w:r>
      <w:r>
        <w:rPr>
          <w:rFonts w:hint="eastAsia" w:ascii="宋体" w:hAnsi="宋体" w:eastAsia="宋体" w:cs="Times New Roman"/>
          <w:color w:val="000000" w:themeColor="text1"/>
          <w:kern w:val="0"/>
          <w:szCs w:val="20"/>
          <w14:textFill>
            <w14:solidFill>
              <w14:schemeClr w14:val="tx1"/>
            </w14:solidFill>
          </w14:textFill>
        </w:rPr>
        <w:tab/>
      </w:r>
      <w:r>
        <w:rPr>
          <w:rFonts w:hint="eastAsia" w:ascii="宋体" w:hAnsi="宋体" w:eastAsia="宋体" w:cs="Times New Roman"/>
          <w:color w:val="000000" w:themeColor="text1"/>
          <w:kern w:val="0"/>
          <w:szCs w:val="20"/>
          <w14:textFill>
            <w14:solidFill>
              <w14:schemeClr w14:val="tx1"/>
            </w14:solidFill>
          </w14:textFill>
        </w:rPr>
        <w:tab/>
      </w:r>
    </w:p>
    <w:p w14:paraId="6093BD9C">
      <w:pPr>
        <w:pStyle w:val="23"/>
        <w:widowControl/>
        <w:numPr>
          <w:ilvl w:val="0"/>
          <w:numId w:val="3"/>
        </w:numPr>
        <w:ind w:firstLineChars="0"/>
        <w:jc w:val="left"/>
        <w:rPr>
          <w:rFonts w:ascii="宋体" w:hAnsi="宋体"/>
          <w:color w:val="000000" w:themeColor="text1"/>
          <w:kern w:val="0"/>
          <w:szCs w:val="20"/>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填写此表时不得改变表格的形式，同时本表中的报价须与《清单报价表》中的报价一致，否则报价无效；</w:t>
      </w:r>
    </w:p>
    <w:p w14:paraId="4101684F">
      <w:pPr>
        <w:pStyle w:val="23"/>
        <w:widowControl/>
        <w:numPr>
          <w:ilvl w:val="0"/>
          <w:numId w:val="3"/>
        </w:numPr>
        <w:ind w:firstLineChars="0"/>
        <w:jc w:val="left"/>
        <w:rPr>
          <w:rFonts w:ascii="宋体" w:hAnsi="宋体"/>
          <w:color w:val="000000" w:themeColor="text1"/>
          <w:kern w:val="0"/>
          <w:szCs w:val="20"/>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报价已包含供应商提供的检测、鉴定方案全部内容和现行检测、鉴定相关规范、规定要求的本项目必须检测、鉴定所有工作（包括但不限于询价文件、清单报价表内容）的全部费用；</w:t>
      </w:r>
    </w:p>
    <w:p w14:paraId="1403E315">
      <w:pPr>
        <w:pStyle w:val="13"/>
        <w:numPr>
          <w:ilvl w:val="0"/>
          <w:numId w:val="3"/>
        </w:numPr>
        <w:ind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下浮率的使用办法参见“付款方式”中“结算原则”的第②点；</w:t>
      </w:r>
    </w:p>
    <w:p w14:paraId="1CFB3238">
      <w:pPr>
        <w:widowControl/>
        <w:ind w:left="2"/>
        <w:jc w:val="left"/>
        <w:rPr>
          <w:rFonts w:ascii="宋体" w:hAnsi="宋体" w:eastAsia="宋体" w:cs="Times New Roman"/>
          <w:color w:val="000000" w:themeColor="text1"/>
          <w:kern w:val="0"/>
          <w:szCs w:val="20"/>
          <w14:textFill>
            <w14:solidFill>
              <w14:schemeClr w14:val="tx1"/>
            </w14:solidFill>
          </w14:textFill>
        </w:rPr>
      </w:pPr>
      <w:r>
        <w:rPr>
          <w:rFonts w:ascii="宋体" w:hAnsi="宋体" w:eastAsia="宋体" w:cs="Times New Roman"/>
          <w:color w:val="000000" w:themeColor="text1"/>
          <w:kern w:val="0"/>
          <w:szCs w:val="20"/>
          <w14:textFill>
            <w14:solidFill>
              <w14:schemeClr w14:val="tx1"/>
            </w14:solidFill>
          </w14:textFill>
        </w:rPr>
        <w:t>4</w:t>
      </w:r>
      <w:r>
        <w:rPr>
          <w:rFonts w:hint="eastAsia" w:ascii="宋体" w:hAnsi="宋体" w:eastAsia="宋体" w:cs="Times New Roman"/>
          <w:color w:val="000000" w:themeColor="text1"/>
          <w:kern w:val="0"/>
          <w:szCs w:val="20"/>
          <w14:textFill>
            <w14:solidFill>
              <w14:schemeClr w14:val="tx1"/>
            </w14:solidFill>
          </w14:textFill>
        </w:rPr>
        <w:t>、如有其他特殊说明事项，可在“备注”栏内明确表述。</w:t>
      </w:r>
    </w:p>
    <w:p w14:paraId="556001CE">
      <w:pPr>
        <w:pStyle w:val="13"/>
        <w:ind w:firstLine="240"/>
        <w:rPr>
          <w:color w:val="000000" w:themeColor="text1"/>
          <w14:textFill>
            <w14:solidFill>
              <w14:schemeClr w14:val="tx1"/>
            </w14:solidFill>
          </w14:textFill>
        </w:rPr>
      </w:pPr>
    </w:p>
    <w:p w14:paraId="348FB7E0">
      <w:pPr>
        <w:pStyle w:val="13"/>
        <w:ind w:firstLine="240"/>
        <w:rPr>
          <w:color w:val="000000" w:themeColor="text1"/>
          <w14:textFill>
            <w14:solidFill>
              <w14:schemeClr w14:val="tx1"/>
            </w14:solidFill>
          </w14:textFill>
        </w:rPr>
      </w:pPr>
    </w:p>
    <w:p w14:paraId="76E39A14">
      <w:pPr>
        <w:widowControl/>
        <w:spacing w:line="360" w:lineRule="auto"/>
        <w:jc w:val="left"/>
        <w:rPr>
          <w:rFonts w:ascii="宋体" w:hAnsi="宋体" w:eastAsia="宋体" w:cs="Times New Roman"/>
          <w:color w:val="000000" w:themeColor="text1"/>
          <w:kern w:val="0"/>
          <w:szCs w:val="21"/>
          <w14:textFill>
            <w14:solidFill>
              <w14:schemeClr w14:val="tx1"/>
            </w14:solidFill>
          </w14:textFill>
        </w:rPr>
      </w:pPr>
    </w:p>
    <w:p w14:paraId="65F4D58F">
      <w:pPr>
        <w:widowControl/>
        <w:adjustRightInd w:val="0"/>
        <w:snapToGrid w:val="0"/>
        <w:spacing w:line="360" w:lineRule="auto"/>
        <w:jc w:val="right"/>
        <w:rPr>
          <w:rFonts w:ascii="宋体" w:hAnsi="宋体" w:eastAsia="宋体" w:cs="Times New Roman"/>
          <w:color w:val="000000" w:themeColor="text1"/>
          <w:kern w:val="0"/>
          <w:szCs w:val="21"/>
          <w:u w:val="single"/>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供应商名称（盖章）：</w:t>
      </w:r>
    </w:p>
    <w:p w14:paraId="501CC009">
      <w:pPr>
        <w:widowControl/>
        <w:spacing w:line="360" w:lineRule="auto"/>
        <w:jc w:val="righ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日期：   年   月   日</w:t>
      </w:r>
    </w:p>
    <w:p w14:paraId="1EE9E288">
      <w:pPr>
        <w:pStyle w:val="13"/>
        <w:ind w:firstLine="240"/>
        <w:rPr>
          <w:color w:val="000000" w:themeColor="text1"/>
          <w14:textFill>
            <w14:solidFill>
              <w14:schemeClr w14:val="tx1"/>
            </w14:solidFill>
          </w14:textFill>
        </w:rPr>
      </w:pPr>
    </w:p>
    <w:p w14:paraId="4F0FEE4F">
      <w:pPr>
        <w:widowControl/>
        <w:spacing w:line="360" w:lineRule="auto"/>
        <w:jc w:val="left"/>
        <w:rPr>
          <w:rFonts w:ascii="宋体" w:hAnsi="宋体" w:eastAsia="宋体" w:cs="Times New Roman"/>
          <w:color w:val="000000" w:themeColor="text1"/>
          <w:kern w:val="0"/>
          <w:szCs w:val="21"/>
          <w14:textFill>
            <w14:solidFill>
              <w14:schemeClr w14:val="tx1"/>
            </w14:solidFill>
          </w14:textFill>
        </w:rPr>
      </w:pPr>
    </w:p>
    <w:p w14:paraId="6349DDAB">
      <w:pPr>
        <w:spacing w:line="440" w:lineRule="exact"/>
        <w:jc w:val="center"/>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br w:type="page"/>
      </w:r>
      <w:r>
        <w:rPr>
          <w:rFonts w:hint="eastAsia" w:ascii="宋体" w:hAnsi="宋体" w:eastAsia="宋体" w:cs="Times New Roman"/>
          <w:b/>
          <w:bCs/>
          <w:color w:val="000000" w:themeColor="text1"/>
          <w:sz w:val="28"/>
          <w:szCs w:val="28"/>
          <w14:textFill>
            <w14:solidFill>
              <w14:schemeClr w14:val="tx1"/>
            </w14:solidFill>
          </w14:textFill>
        </w:rPr>
        <w:t>清单报价表</w:t>
      </w:r>
    </w:p>
    <w:tbl>
      <w:tblPr>
        <w:tblStyle w:val="14"/>
        <w:tblW w:w="8784" w:type="dxa"/>
        <w:jc w:val="center"/>
        <w:tblLayout w:type="fixed"/>
        <w:tblCellMar>
          <w:top w:w="0" w:type="dxa"/>
          <w:left w:w="108" w:type="dxa"/>
          <w:bottom w:w="0" w:type="dxa"/>
          <w:right w:w="108" w:type="dxa"/>
        </w:tblCellMar>
      </w:tblPr>
      <w:tblGrid>
        <w:gridCol w:w="567"/>
        <w:gridCol w:w="2123"/>
        <w:gridCol w:w="1982"/>
        <w:gridCol w:w="710"/>
        <w:gridCol w:w="425"/>
        <w:gridCol w:w="1134"/>
        <w:gridCol w:w="1134"/>
        <w:gridCol w:w="709"/>
      </w:tblGrid>
      <w:tr w14:paraId="318A8F10">
        <w:tblPrEx>
          <w:tblCellMar>
            <w:top w:w="0" w:type="dxa"/>
            <w:left w:w="108" w:type="dxa"/>
            <w:bottom w:w="0" w:type="dxa"/>
            <w:right w:w="108" w:type="dxa"/>
          </w:tblCellMar>
        </w:tblPrEx>
        <w:trPr>
          <w:trHeight w:val="237" w:hRule="atLeast"/>
          <w:jc w:val="center"/>
        </w:trPr>
        <w:tc>
          <w:tcPr>
            <w:tcW w:w="567" w:type="dxa"/>
            <w:vMerge w:val="restart"/>
            <w:tcBorders>
              <w:top w:val="single" w:color="000000" w:sz="4" w:space="0"/>
              <w:left w:val="single" w:color="000000" w:sz="4" w:space="0"/>
              <w:right w:val="single" w:color="000000" w:sz="4" w:space="0"/>
            </w:tcBorders>
            <w:shd w:val="clear" w:color="auto" w:fill="auto"/>
            <w:noWrap/>
            <w:vAlign w:val="center"/>
          </w:tcPr>
          <w:p w14:paraId="6EFCDFC2">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序号</w:t>
            </w:r>
          </w:p>
        </w:tc>
        <w:tc>
          <w:tcPr>
            <w:tcW w:w="410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8319A6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检测内容</w:t>
            </w: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3AC3571E">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工程量</w:t>
            </w:r>
          </w:p>
        </w:tc>
        <w:tc>
          <w:tcPr>
            <w:tcW w:w="425" w:type="dxa"/>
            <w:vMerge w:val="restart"/>
            <w:tcBorders>
              <w:top w:val="single" w:color="000000" w:sz="4" w:space="0"/>
              <w:left w:val="single" w:color="000000" w:sz="4" w:space="0"/>
              <w:right w:val="single" w:color="000000" w:sz="4" w:space="0"/>
            </w:tcBorders>
            <w:shd w:val="clear" w:color="auto" w:fill="auto"/>
            <w:noWrap/>
            <w:vAlign w:val="center"/>
          </w:tcPr>
          <w:p w14:paraId="34A5888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单位</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7D486E3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综合单价（元）</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14:paraId="1ABEB94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综合合价（元）</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54E0E89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备注</w:t>
            </w:r>
          </w:p>
        </w:tc>
      </w:tr>
      <w:tr w14:paraId="28630C37">
        <w:tblPrEx>
          <w:tblCellMar>
            <w:top w:w="0" w:type="dxa"/>
            <w:left w:w="108" w:type="dxa"/>
            <w:bottom w:w="0" w:type="dxa"/>
            <w:right w:w="108" w:type="dxa"/>
          </w:tblCellMar>
        </w:tblPrEx>
        <w:trPr>
          <w:trHeight w:val="356" w:hRule="atLeast"/>
          <w:jc w:val="center"/>
        </w:trPr>
        <w:tc>
          <w:tcPr>
            <w:tcW w:w="567" w:type="dxa"/>
            <w:vMerge w:val="continue"/>
            <w:tcBorders>
              <w:left w:val="single" w:color="000000" w:sz="4" w:space="0"/>
              <w:bottom w:val="single" w:color="000000" w:sz="4" w:space="0"/>
              <w:right w:val="single" w:color="000000" w:sz="4" w:space="0"/>
            </w:tcBorders>
            <w:shd w:val="clear" w:color="auto" w:fill="auto"/>
            <w:noWrap/>
            <w:vAlign w:val="center"/>
          </w:tcPr>
          <w:p w14:paraId="6F97CBD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2123" w:type="dxa"/>
            <w:tcBorders>
              <w:top w:val="single" w:color="auto" w:sz="4" w:space="0"/>
              <w:left w:val="single" w:color="000000" w:sz="4" w:space="0"/>
              <w:bottom w:val="single" w:color="000000" w:sz="4" w:space="0"/>
              <w:right w:val="single" w:color="auto" w:sz="4" w:space="0"/>
            </w:tcBorders>
            <w:shd w:val="clear" w:color="auto" w:fill="auto"/>
            <w:vAlign w:val="center"/>
          </w:tcPr>
          <w:p w14:paraId="2175784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检测对象</w:t>
            </w:r>
          </w:p>
        </w:tc>
        <w:tc>
          <w:tcPr>
            <w:tcW w:w="1982" w:type="dxa"/>
            <w:tcBorders>
              <w:top w:val="single" w:color="auto" w:sz="4" w:space="0"/>
              <w:left w:val="single" w:color="auto" w:sz="4" w:space="0"/>
              <w:bottom w:val="single" w:color="000000" w:sz="4" w:space="0"/>
              <w:right w:val="single" w:color="000000" w:sz="4" w:space="0"/>
            </w:tcBorders>
            <w:shd w:val="clear" w:color="auto" w:fill="auto"/>
            <w:vAlign w:val="center"/>
          </w:tcPr>
          <w:p w14:paraId="02D078F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检测参数</w:t>
            </w: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58B9B58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425" w:type="dxa"/>
            <w:vMerge w:val="continue"/>
            <w:tcBorders>
              <w:left w:val="single" w:color="000000" w:sz="4" w:space="0"/>
              <w:bottom w:val="single" w:color="000000" w:sz="4" w:space="0"/>
              <w:right w:val="single" w:color="000000" w:sz="4" w:space="0"/>
            </w:tcBorders>
            <w:shd w:val="clear" w:color="auto" w:fill="auto"/>
            <w:noWrap/>
            <w:vAlign w:val="center"/>
          </w:tcPr>
          <w:p w14:paraId="71378A3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5CD94D8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14:paraId="725BB52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c>
          <w:tcPr>
            <w:tcW w:w="709" w:type="dxa"/>
            <w:vMerge w:val="continue"/>
            <w:tcBorders>
              <w:left w:val="single" w:color="000000" w:sz="4" w:space="0"/>
              <w:bottom w:val="single" w:color="000000" w:sz="4" w:space="0"/>
              <w:right w:val="single" w:color="000000" w:sz="4" w:space="0"/>
            </w:tcBorders>
            <w:shd w:val="clear" w:color="auto" w:fill="auto"/>
            <w:vAlign w:val="center"/>
          </w:tcPr>
          <w:p w14:paraId="2153BF02">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p>
        </w:tc>
      </w:tr>
      <w:tr w14:paraId="556605C0">
        <w:tblPrEx>
          <w:tblCellMar>
            <w:top w:w="0" w:type="dxa"/>
            <w:left w:w="108" w:type="dxa"/>
            <w:bottom w:w="0" w:type="dxa"/>
            <w:right w:w="108"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0B3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F282047">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聚合物水泥防水砂浆</w:t>
            </w:r>
          </w:p>
        </w:tc>
        <w:tc>
          <w:tcPr>
            <w:tcW w:w="1982" w:type="dxa"/>
            <w:tcBorders>
              <w:top w:val="single" w:color="000000" w:sz="4" w:space="0"/>
              <w:left w:val="single" w:color="auto" w:sz="4" w:space="0"/>
              <w:bottom w:val="single" w:color="000000" w:sz="4" w:space="0"/>
              <w:right w:val="single" w:color="000000" w:sz="4" w:space="0"/>
            </w:tcBorders>
            <w:shd w:val="clear" w:color="auto" w:fill="auto"/>
            <w:vAlign w:val="center"/>
          </w:tcPr>
          <w:p w14:paraId="760BE71A">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收缩率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16FA">
            <w:pPr>
              <w:widowControl/>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7B7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65EB">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6523">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EE2A">
            <w:pPr>
              <w:jc w:val="center"/>
              <w:rPr>
                <w:rFonts w:ascii="宋体" w:hAnsi="宋体" w:eastAsia="宋体" w:cs="宋体"/>
                <w:color w:val="000000" w:themeColor="text1"/>
                <w:szCs w:val="21"/>
                <w14:textFill>
                  <w14:solidFill>
                    <w14:schemeClr w14:val="tx1"/>
                  </w14:solidFill>
                </w14:textFill>
              </w:rPr>
            </w:pPr>
          </w:p>
        </w:tc>
      </w:tr>
      <w:tr w14:paraId="44450139">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549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A3D8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无机涂料底漆</w:t>
            </w:r>
          </w:p>
        </w:tc>
        <w:tc>
          <w:tcPr>
            <w:tcW w:w="1982" w:type="dxa"/>
            <w:vMerge w:val="restart"/>
            <w:tcBorders>
              <w:top w:val="single" w:color="000000" w:sz="4" w:space="0"/>
              <w:left w:val="single" w:color="auto" w:sz="4" w:space="0"/>
              <w:right w:val="single" w:color="000000" w:sz="4" w:space="0"/>
            </w:tcBorders>
            <w:shd w:val="clear" w:color="auto" w:fill="auto"/>
            <w:vAlign w:val="center"/>
          </w:tcPr>
          <w:p w14:paraId="091EEDE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挥发性有机化合物释放量（V</w:t>
            </w:r>
            <w:r>
              <w:rPr>
                <w:rFonts w:ascii="宋体" w:hAnsi="宋体" w:eastAsia="宋体" w:cs="宋体"/>
                <w:color w:val="000000" w:themeColor="text1"/>
                <w:szCs w:val="21"/>
                <w14:textFill>
                  <w14:solidFill>
                    <w14:schemeClr w14:val="tx1"/>
                  </w14:solidFill>
                </w14:textFill>
              </w:rPr>
              <w:t>OC</w:t>
            </w:r>
            <w:r>
              <w:rPr>
                <w:rFonts w:hint="eastAsia" w:ascii="宋体" w:hAnsi="宋体" w:eastAsia="宋体" w:cs="宋体"/>
                <w:color w:val="000000" w:themeColor="text1"/>
                <w:szCs w:val="21"/>
                <w14:textFill>
                  <w14:solidFill>
                    <w14:schemeClr w14:val="tx1"/>
                  </w14:solidFill>
                </w14:textFill>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F8CE">
            <w:pPr>
              <w:widowControl/>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33A2">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062">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D88">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492">
            <w:pPr>
              <w:jc w:val="left"/>
              <w:rPr>
                <w:rFonts w:ascii="宋体" w:hAnsi="宋体" w:eastAsia="宋体" w:cs="宋体"/>
                <w:color w:val="000000" w:themeColor="text1"/>
                <w:szCs w:val="21"/>
                <w14:textFill>
                  <w14:solidFill>
                    <w14:schemeClr w14:val="tx1"/>
                  </w14:solidFill>
                </w14:textFill>
              </w:rPr>
            </w:pPr>
          </w:p>
        </w:tc>
      </w:tr>
      <w:tr w14:paraId="3C875A3B">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AC0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03EBD9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无机涂料面漆</w:t>
            </w:r>
          </w:p>
        </w:tc>
        <w:tc>
          <w:tcPr>
            <w:tcW w:w="1982" w:type="dxa"/>
            <w:vMerge w:val="continue"/>
            <w:tcBorders>
              <w:left w:val="single" w:color="auto" w:sz="4" w:space="0"/>
              <w:right w:val="single" w:color="000000" w:sz="4" w:space="0"/>
            </w:tcBorders>
            <w:shd w:val="clear" w:color="auto" w:fill="auto"/>
            <w:vAlign w:val="center"/>
          </w:tcPr>
          <w:p w14:paraId="07D434BC">
            <w:pPr>
              <w:widowControl/>
              <w:jc w:val="center"/>
              <w:textAlignment w:val="center"/>
              <w:rPr>
                <w:rFonts w:ascii="宋体" w:hAnsi="宋体" w:eastAsia="宋体" w:cs="宋体"/>
                <w:b/>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763E">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4C0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1CCE">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9190">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7284">
            <w:pPr>
              <w:jc w:val="left"/>
              <w:rPr>
                <w:rFonts w:ascii="宋体" w:hAnsi="宋体" w:eastAsia="宋体" w:cs="宋体"/>
                <w:color w:val="000000" w:themeColor="text1"/>
                <w:szCs w:val="21"/>
                <w14:textFill>
                  <w14:solidFill>
                    <w14:schemeClr w14:val="tx1"/>
                  </w14:solidFill>
                </w14:textFill>
              </w:rPr>
            </w:pPr>
          </w:p>
        </w:tc>
      </w:tr>
      <w:tr w14:paraId="64C653F0">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A81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87E162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乳胶漆涂料底漆</w:t>
            </w:r>
          </w:p>
        </w:tc>
        <w:tc>
          <w:tcPr>
            <w:tcW w:w="1982" w:type="dxa"/>
            <w:vMerge w:val="continue"/>
            <w:tcBorders>
              <w:left w:val="single" w:color="auto" w:sz="4" w:space="0"/>
              <w:right w:val="single" w:color="000000" w:sz="4" w:space="0"/>
            </w:tcBorders>
            <w:shd w:val="clear" w:color="auto" w:fill="auto"/>
            <w:vAlign w:val="center"/>
          </w:tcPr>
          <w:p w14:paraId="66E8EF38">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8DC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C9C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AB41">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078E">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C3C">
            <w:pPr>
              <w:jc w:val="left"/>
              <w:rPr>
                <w:rFonts w:ascii="宋体" w:hAnsi="宋体" w:eastAsia="宋体" w:cs="宋体"/>
                <w:color w:val="000000" w:themeColor="text1"/>
                <w:szCs w:val="21"/>
                <w14:textFill>
                  <w14:solidFill>
                    <w14:schemeClr w14:val="tx1"/>
                  </w14:solidFill>
                </w14:textFill>
              </w:rPr>
            </w:pPr>
          </w:p>
        </w:tc>
      </w:tr>
      <w:tr w14:paraId="67E4A836">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9CC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39EA3F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乳胶漆涂料面漆</w:t>
            </w:r>
          </w:p>
        </w:tc>
        <w:tc>
          <w:tcPr>
            <w:tcW w:w="1982" w:type="dxa"/>
            <w:vMerge w:val="continue"/>
            <w:tcBorders>
              <w:left w:val="single" w:color="auto" w:sz="4" w:space="0"/>
              <w:right w:val="single" w:color="000000" w:sz="4" w:space="0"/>
            </w:tcBorders>
            <w:shd w:val="clear" w:color="auto" w:fill="auto"/>
            <w:vAlign w:val="center"/>
          </w:tcPr>
          <w:p w14:paraId="2E65E334">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4C7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4A8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5D1B">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409F">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731">
            <w:pPr>
              <w:jc w:val="left"/>
              <w:rPr>
                <w:rFonts w:ascii="宋体" w:hAnsi="宋体" w:eastAsia="宋体" w:cs="宋体"/>
                <w:color w:val="000000" w:themeColor="text1"/>
                <w:szCs w:val="21"/>
                <w14:textFill>
                  <w14:solidFill>
                    <w14:schemeClr w14:val="tx1"/>
                  </w14:solidFill>
                </w14:textFill>
              </w:rPr>
            </w:pPr>
          </w:p>
        </w:tc>
      </w:tr>
      <w:tr w14:paraId="2A2A75CD">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112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1951C2A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仿石漆面层涂料</w:t>
            </w:r>
          </w:p>
        </w:tc>
        <w:tc>
          <w:tcPr>
            <w:tcW w:w="1982" w:type="dxa"/>
            <w:vMerge w:val="continue"/>
            <w:tcBorders>
              <w:left w:val="single" w:color="auto" w:sz="4" w:space="0"/>
              <w:right w:val="single" w:color="000000" w:sz="4" w:space="0"/>
            </w:tcBorders>
            <w:shd w:val="clear" w:color="auto" w:fill="auto"/>
            <w:vAlign w:val="center"/>
          </w:tcPr>
          <w:p w14:paraId="7C72CF93">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DCC7">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B0C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513">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F024">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596C">
            <w:pPr>
              <w:jc w:val="left"/>
              <w:rPr>
                <w:rFonts w:ascii="宋体" w:hAnsi="宋体" w:eastAsia="宋体" w:cs="宋体"/>
                <w:color w:val="000000" w:themeColor="text1"/>
                <w:szCs w:val="21"/>
                <w14:textFill>
                  <w14:solidFill>
                    <w14:schemeClr w14:val="tx1"/>
                  </w14:solidFill>
                </w14:textFill>
              </w:rPr>
            </w:pPr>
          </w:p>
        </w:tc>
      </w:tr>
      <w:tr w14:paraId="5DC65A38">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D87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C28E3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仿石漆主层涂料</w:t>
            </w:r>
          </w:p>
        </w:tc>
        <w:tc>
          <w:tcPr>
            <w:tcW w:w="1982" w:type="dxa"/>
            <w:vMerge w:val="continue"/>
            <w:tcBorders>
              <w:left w:val="single" w:color="auto" w:sz="4" w:space="0"/>
              <w:right w:val="single" w:color="000000" w:sz="4" w:space="0"/>
            </w:tcBorders>
            <w:shd w:val="clear" w:color="auto" w:fill="auto"/>
            <w:vAlign w:val="center"/>
          </w:tcPr>
          <w:p w14:paraId="09944B78">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50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ACB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297B">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EE0">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D89">
            <w:pPr>
              <w:jc w:val="left"/>
              <w:rPr>
                <w:rFonts w:ascii="宋体" w:hAnsi="宋体" w:eastAsia="宋体" w:cs="宋体"/>
                <w:color w:val="000000" w:themeColor="text1"/>
                <w:szCs w:val="21"/>
                <w14:textFill>
                  <w14:solidFill>
                    <w14:schemeClr w14:val="tx1"/>
                  </w14:solidFill>
                </w14:textFill>
              </w:rPr>
            </w:pPr>
          </w:p>
        </w:tc>
      </w:tr>
      <w:tr w14:paraId="1751DEFE">
        <w:tblPrEx>
          <w:tblCellMar>
            <w:top w:w="0" w:type="dxa"/>
            <w:left w:w="108" w:type="dxa"/>
            <w:bottom w:w="0" w:type="dxa"/>
            <w:right w:w="108" w:type="dxa"/>
          </w:tblCellMar>
        </w:tblPrEx>
        <w:trPr>
          <w:trHeight w:val="454"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868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0BC56B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仿石漆底层涂料</w:t>
            </w:r>
          </w:p>
        </w:tc>
        <w:tc>
          <w:tcPr>
            <w:tcW w:w="1982" w:type="dxa"/>
            <w:vMerge w:val="continue"/>
            <w:tcBorders>
              <w:left w:val="single" w:color="auto" w:sz="4" w:space="0"/>
              <w:right w:val="single" w:color="000000" w:sz="4" w:space="0"/>
            </w:tcBorders>
            <w:shd w:val="clear" w:color="auto" w:fill="auto"/>
            <w:vAlign w:val="center"/>
          </w:tcPr>
          <w:p w14:paraId="15F76930">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8487">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E04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5655">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EC94">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06E">
            <w:pPr>
              <w:jc w:val="left"/>
              <w:rPr>
                <w:rFonts w:ascii="宋体" w:hAnsi="宋体" w:eastAsia="宋体" w:cs="宋体"/>
                <w:color w:val="000000" w:themeColor="text1"/>
                <w:szCs w:val="21"/>
                <w14:textFill>
                  <w14:solidFill>
                    <w14:schemeClr w14:val="tx1"/>
                  </w14:solidFill>
                </w14:textFill>
              </w:rPr>
            </w:pPr>
          </w:p>
        </w:tc>
      </w:tr>
      <w:tr w14:paraId="4CF57579">
        <w:tblPrEx>
          <w:tblCellMar>
            <w:top w:w="0" w:type="dxa"/>
            <w:left w:w="108" w:type="dxa"/>
            <w:bottom w:w="0" w:type="dxa"/>
            <w:right w:w="108"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A6C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AD98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云铁绿磺化聚乙烯防腐底漆</w:t>
            </w:r>
          </w:p>
        </w:tc>
        <w:tc>
          <w:tcPr>
            <w:tcW w:w="1982" w:type="dxa"/>
            <w:vMerge w:val="continue"/>
            <w:tcBorders>
              <w:left w:val="single" w:color="auto" w:sz="4" w:space="0"/>
              <w:right w:val="single" w:color="000000" w:sz="4" w:space="0"/>
            </w:tcBorders>
            <w:shd w:val="clear" w:color="auto" w:fill="auto"/>
            <w:vAlign w:val="center"/>
          </w:tcPr>
          <w:p w14:paraId="7C3E37E7">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6EA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4ED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A1CF">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177A">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4B07">
            <w:pPr>
              <w:jc w:val="left"/>
              <w:rPr>
                <w:rFonts w:ascii="宋体" w:hAnsi="宋体" w:eastAsia="宋体" w:cs="宋体"/>
                <w:color w:val="000000" w:themeColor="text1"/>
                <w:szCs w:val="21"/>
                <w14:textFill>
                  <w14:solidFill>
                    <w14:schemeClr w14:val="tx1"/>
                  </w14:solidFill>
                </w14:textFill>
              </w:rPr>
            </w:pPr>
          </w:p>
        </w:tc>
      </w:tr>
      <w:tr w14:paraId="60ED5F78">
        <w:tblPrEx>
          <w:tblCellMar>
            <w:top w:w="0" w:type="dxa"/>
            <w:left w:w="108" w:type="dxa"/>
            <w:bottom w:w="0" w:type="dxa"/>
            <w:right w:w="108"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B71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E694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灰丙烯酸磁漆面漆</w:t>
            </w:r>
          </w:p>
        </w:tc>
        <w:tc>
          <w:tcPr>
            <w:tcW w:w="1982" w:type="dxa"/>
            <w:vMerge w:val="continue"/>
            <w:tcBorders>
              <w:left w:val="single" w:color="auto" w:sz="4" w:space="0"/>
              <w:right w:val="single" w:color="000000" w:sz="4" w:space="0"/>
            </w:tcBorders>
            <w:shd w:val="clear" w:color="auto" w:fill="auto"/>
            <w:vAlign w:val="center"/>
          </w:tcPr>
          <w:p w14:paraId="39CE9F17">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7CA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E20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98BF">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BC1">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4517">
            <w:pPr>
              <w:jc w:val="left"/>
              <w:rPr>
                <w:rFonts w:ascii="宋体" w:hAnsi="宋体" w:eastAsia="宋体" w:cs="宋体"/>
                <w:color w:val="000000" w:themeColor="text1"/>
                <w:szCs w:val="21"/>
                <w14:textFill>
                  <w14:solidFill>
                    <w14:schemeClr w14:val="tx1"/>
                  </w14:solidFill>
                </w14:textFill>
              </w:rPr>
            </w:pPr>
          </w:p>
        </w:tc>
      </w:tr>
      <w:tr w14:paraId="1213F4A4">
        <w:tblPrEx>
          <w:tblCellMar>
            <w:top w:w="0" w:type="dxa"/>
            <w:left w:w="108" w:type="dxa"/>
            <w:bottom w:w="0" w:type="dxa"/>
            <w:right w:w="108"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626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1</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126DFA4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单组分聚氨酯防水涂料I型</w:t>
            </w:r>
          </w:p>
        </w:tc>
        <w:tc>
          <w:tcPr>
            <w:tcW w:w="1982" w:type="dxa"/>
            <w:vMerge w:val="continue"/>
            <w:tcBorders>
              <w:left w:val="single" w:color="auto" w:sz="4" w:space="0"/>
              <w:right w:val="single" w:color="000000" w:sz="4" w:space="0"/>
            </w:tcBorders>
            <w:shd w:val="clear" w:color="auto" w:fill="auto"/>
            <w:vAlign w:val="center"/>
          </w:tcPr>
          <w:p w14:paraId="5C307395">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141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566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4B0D">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28B7">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B3B">
            <w:pPr>
              <w:jc w:val="left"/>
              <w:rPr>
                <w:rFonts w:ascii="宋体" w:hAnsi="宋体" w:eastAsia="宋体" w:cs="宋体"/>
                <w:color w:val="000000" w:themeColor="text1"/>
                <w:szCs w:val="21"/>
                <w14:textFill>
                  <w14:solidFill>
                    <w14:schemeClr w14:val="tx1"/>
                  </w14:solidFill>
                </w14:textFill>
              </w:rPr>
            </w:pPr>
          </w:p>
        </w:tc>
      </w:tr>
      <w:tr w14:paraId="637361FA">
        <w:tblPrEx>
          <w:tblCellMar>
            <w:top w:w="0" w:type="dxa"/>
            <w:left w:w="108" w:type="dxa"/>
            <w:bottom w:w="0" w:type="dxa"/>
            <w:right w:w="108"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D8E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2</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E04F20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聚合物水泥防水涂料I型</w:t>
            </w:r>
          </w:p>
        </w:tc>
        <w:tc>
          <w:tcPr>
            <w:tcW w:w="1982" w:type="dxa"/>
            <w:vMerge w:val="continue"/>
            <w:tcBorders>
              <w:left w:val="single" w:color="auto" w:sz="4" w:space="0"/>
              <w:bottom w:val="single" w:color="000000" w:sz="4" w:space="0"/>
              <w:right w:val="single" w:color="000000" w:sz="4" w:space="0"/>
            </w:tcBorders>
            <w:shd w:val="clear" w:color="auto" w:fill="auto"/>
            <w:vAlign w:val="center"/>
          </w:tcPr>
          <w:p w14:paraId="57B2CBD7">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1C4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2C3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A658">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DFCC">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499">
            <w:pPr>
              <w:jc w:val="left"/>
              <w:rPr>
                <w:rFonts w:ascii="宋体" w:hAnsi="宋体" w:eastAsia="宋体" w:cs="宋体"/>
                <w:color w:val="000000" w:themeColor="text1"/>
                <w:szCs w:val="21"/>
                <w14:textFill>
                  <w14:solidFill>
                    <w14:schemeClr w14:val="tx1"/>
                  </w14:solidFill>
                </w14:textFill>
              </w:rPr>
            </w:pPr>
          </w:p>
        </w:tc>
      </w:tr>
      <w:tr w14:paraId="2BDF3216">
        <w:tblPrEx>
          <w:tblCellMar>
            <w:top w:w="0" w:type="dxa"/>
            <w:left w:w="108" w:type="dxa"/>
            <w:bottom w:w="0" w:type="dxa"/>
            <w:right w:w="108" w:type="dxa"/>
          </w:tblCellMar>
        </w:tblPrEx>
        <w:trPr>
          <w:trHeight w:val="81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3E65">
            <w:pPr>
              <w:widowControl/>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3</w:t>
            </w:r>
          </w:p>
        </w:tc>
        <w:tc>
          <w:tcPr>
            <w:tcW w:w="21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F6711">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室内空气污染物</w:t>
            </w:r>
          </w:p>
        </w:tc>
        <w:tc>
          <w:tcPr>
            <w:tcW w:w="19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2B156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甲醛、TVOC、苯、氡、氨、甲苯、二甲苯的浓度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D7B9">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615</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5D7">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2CE0">
            <w:pPr>
              <w:jc w:val="center"/>
              <w:rPr>
                <w:rFonts w:ascii="宋体" w:hAnsi="宋体" w:eastAsia="宋体" w:cs="宋体"/>
                <w:color w:val="000000" w:themeColor="text1"/>
                <w:szCs w:val="2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EF4C">
            <w:pPr>
              <w:jc w:val="cente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DAA6">
            <w:pPr>
              <w:jc w:val="left"/>
              <w:rPr>
                <w:rFonts w:ascii="宋体" w:hAnsi="宋体" w:eastAsia="宋体" w:cs="宋体"/>
                <w:color w:val="000000" w:themeColor="text1"/>
                <w:szCs w:val="21"/>
                <w14:textFill>
                  <w14:solidFill>
                    <w14:schemeClr w14:val="tx1"/>
                  </w14:solidFill>
                </w14:textFill>
              </w:rPr>
            </w:pPr>
          </w:p>
        </w:tc>
      </w:tr>
      <w:tr w14:paraId="09A31502">
        <w:tblPrEx>
          <w:tblCellMar>
            <w:top w:w="0" w:type="dxa"/>
            <w:left w:w="108" w:type="dxa"/>
            <w:bottom w:w="0" w:type="dxa"/>
            <w:right w:w="108" w:type="dxa"/>
          </w:tblCellMar>
        </w:tblPrEx>
        <w:trPr>
          <w:trHeight w:val="540" w:hRule="atLeast"/>
          <w:jc w:val="center"/>
        </w:trPr>
        <w:tc>
          <w:tcPr>
            <w:tcW w:w="5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B925D4">
            <w:pPr>
              <w:widowControl/>
              <w:jc w:val="center"/>
              <w:textAlignment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5</w:t>
            </w:r>
          </w:p>
        </w:tc>
        <w:tc>
          <w:tcPr>
            <w:tcW w:w="4105" w:type="dxa"/>
            <w:gridSpan w:val="2"/>
            <w:tcBorders>
              <w:top w:val="single" w:color="000000" w:sz="4" w:space="0"/>
              <w:left w:val="single" w:color="auto" w:sz="4" w:space="0"/>
              <w:bottom w:val="single" w:color="000000" w:sz="4" w:space="0"/>
            </w:tcBorders>
            <w:shd w:val="clear" w:color="auto" w:fill="auto"/>
            <w:vAlign w:val="center"/>
          </w:tcPr>
          <w:p w14:paraId="14309769">
            <w:pPr>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暂列金</w:t>
            </w:r>
          </w:p>
        </w:tc>
        <w:tc>
          <w:tcPr>
            <w:tcW w:w="710" w:type="dxa"/>
            <w:tcBorders>
              <w:top w:val="single" w:color="000000" w:sz="4" w:space="0"/>
              <w:left w:val="single" w:color="auto" w:sz="4" w:space="0"/>
              <w:bottom w:val="single" w:color="000000" w:sz="4" w:space="0"/>
            </w:tcBorders>
            <w:shd w:val="clear" w:color="auto" w:fill="auto"/>
            <w:vAlign w:val="center"/>
          </w:tcPr>
          <w:p w14:paraId="26B9380C">
            <w:pPr>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25" w:type="dxa"/>
            <w:tcBorders>
              <w:top w:val="single" w:color="000000" w:sz="4" w:space="0"/>
              <w:left w:val="single" w:color="auto" w:sz="4" w:space="0"/>
              <w:bottom w:val="single" w:color="000000" w:sz="4" w:space="0"/>
            </w:tcBorders>
            <w:shd w:val="clear" w:color="auto" w:fill="auto"/>
            <w:vAlign w:val="center"/>
          </w:tcPr>
          <w:p w14:paraId="61402552">
            <w:pPr>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w:t>
            </w:r>
          </w:p>
        </w:tc>
        <w:tc>
          <w:tcPr>
            <w:tcW w:w="113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4EB57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0000</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FC480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1CF2">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不可竞争费用</w:t>
            </w:r>
          </w:p>
        </w:tc>
      </w:tr>
      <w:tr w14:paraId="7C11E133">
        <w:tblPrEx>
          <w:tblCellMar>
            <w:top w:w="0" w:type="dxa"/>
            <w:left w:w="108" w:type="dxa"/>
            <w:bottom w:w="0" w:type="dxa"/>
            <w:right w:w="108" w:type="dxa"/>
          </w:tblCellMar>
        </w:tblPrEx>
        <w:trPr>
          <w:trHeight w:val="454" w:hRule="atLeast"/>
          <w:jc w:val="center"/>
        </w:trPr>
        <w:tc>
          <w:tcPr>
            <w:tcW w:w="5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3C9B1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6</w:t>
            </w:r>
          </w:p>
        </w:tc>
        <w:tc>
          <w:tcPr>
            <w:tcW w:w="524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8F01818">
            <w:pPr>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报价（1</w:t>
            </w:r>
            <w:r>
              <w:rPr>
                <w:rFonts w:ascii="宋体" w:hAnsi="宋体" w:eastAsia="宋体" w:cs="宋体"/>
                <w:color w:val="000000" w:themeColor="text1"/>
                <w:kern w:val="0"/>
                <w:szCs w:val="21"/>
                <w:lang w:bidi="ar"/>
                <w14:textFill>
                  <w14:solidFill>
                    <w14:schemeClr w14:val="tx1"/>
                  </w14:solidFill>
                </w14:textFill>
              </w:rPr>
              <w:t>+2+3+4+5+6+7+8+9+10+11+12+13+</w:t>
            </w:r>
            <w:r>
              <w:rPr>
                <w:rFonts w:hint="eastAsia" w:ascii="宋体" w:hAnsi="宋体" w:eastAsia="宋体" w:cs="宋体"/>
                <w:color w:val="000000" w:themeColor="text1"/>
                <w:kern w:val="0"/>
                <w:szCs w:val="21"/>
                <w:lang w:bidi="ar"/>
                <w14:textFill>
                  <w14:solidFill>
                    <w14:schemeClr w14:val="tx1"/>
                  </w14:solidFill>
                </w14:textFill>
              </w:rPr>
              <w:t>14+</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5）</w:t>
            </w:r>
          </w:p>
        </w:tc>
        <w:tc>
          <w:tcPr>
            <w:tcW w:w="226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12F9C74">
            <w:pPr>
              <w:rPr>
                <w:rFonts w:ascii="宋体" w:hAnsi="宋体" w:eastAsia="宋体" w:cs="宋体"/>
                <w:color w:val="000000" w:themeColor="text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518">
            <w:pPr>
              <w:jc w:val="left"/>
              <w:rPr>
                <w:rFonts w:ascii="宋体" w:hAnsi="宋体" w:eastAsia="宋体" w:cs="宋体"/>
                <w:color w:val="000000" w:themeColor="text1"/>
                <w:szCs w:val="21"/>
                <w14:textFill>
                  <w14:solidFill>
                    <w14:schemeClr w14:val="tx1"/>
                  </w14:solidFill>
                </w14:textFill>
              </w:rPr>
            </w:pPr>
          </w:p>
        </w:tc>
      </w:tr>
    </w:tbl>
    <w:p w14:paraId="3442A129">
      <w:pPr>
        <w:widowControl/>
        <w:spacing w:line="360" w:lineRule="exact"/>
        <w:ind w:left="420" w:hanging="420" w:hangingChars="20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注：</w:t>
      </w:r>
    </w:p>
    <w:p w14:paraId="7D1EE1FD">
      <w:pPr>
        <w:widowControl/>
        <w:spacing w:line="300" w:lineRule="exact"/>
        <w:ind w:left="420" w:hanging="420" w:hangingChars="200"/>
        <w:jc w:val="left"/>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1、所有分项价格应按本采购文件的规定要求填写，</w:t>
      </w:r>
      <w:r>
        <w:rPr>
          <w:rFonts w:hint="eastAsia" w:ascii="宋体" w:hAnsi="宋体" w:eastAsia="宋体" w:cs="Times New Roman"/>
          <w:color w:val="000000" w:themeColor="text1"/>
          <w:kern w:val="0"/>
          <w:szCs w:val="20"/>
          <w14:textFill>
            <w14:solidFill>
              <w14:schemeClr w14:val="tx1"/>
            </w14:solidFill>
          </w14:textFill>
        </w:rPr>
        <w:t>同时</w:t>
      </w:r>
      <w:r>
        <w:rPr>
          <w:rFonts w:hint="eastAsia" w:ascii="宋体" w:hAnsi="宋体"/>
          <w:color w:val="000000" w:themeColor="text1"/>
          <w:kern w:val="0"/>
          <w:szCs w:val="20"/>
          <w14:textFill>
            <w14:solidFill>
              <w14:schemeClr w14:val="tx1"/>
            </w14:solidFill>
          </w14:textFill>
        </w:rPr>
        <w:t>本表中的</w:t>
      </w:r>
      <w:r>
        <w:rPr>
          <w:rFonts w:hint="eastAsia" w:ascii="宋体" w:hAnsi="宋体" w:eastAsia="宋体" w:cs="Times New Roman"/>
          <w:color w:val="000000" w:themeColor="text1"/>
          <w:kern w:val="0"/>
          <w:szCs w:val="20"/>
          <w14:textFill>
            <w14:solidFill>
              <w14:schemeClr w14:val="tx1"/>
            </w14:solidFill>
          </w14:textFill>
        </w:rPr>
        <w:t>报价</w:t>
      </w:r>
      <w:r>
        <w:rPr>
          <w:rFonts w:hint="eastAsia" w:ascii="宋体" w:hAnsi="宋体"/>
          <w:color w:val="000000" w:themeColor="text1"/>
          <w:kern w:val="0"/>
          <w:szCs w:val="20"/>
          <w14:textFill>
            <w14:solidFill>
              <w14:schemeClr w14:val="tx1"/>
            </w14:solidFill>
          </w14:textFill>
        </w:rPr>
        <w:t>须</w:t>
      </w:r>
      <w:r>
        <w:rPr>
          <w:rFonts w:hint="eastAsia" w:ascii="宋体" w:hAnsi="宋体" w:eastAsia="宋体" w:cs="Times New Roman"/>
          <w:color w:val="000000" w:themeColor="text1"/>
          <w:kern w:val="0"/>
          <w:szCs w:val="20"/>
          <w14:textFill>
            <w14:solidFill>
              <w14:schemeClr w14:val="tx1"/>
            </w14:solidFill>
          </w14:textFill>
        </w:rPr>
        <w:t>与</w:t>
      </w:r>
      <w:r>
        <w:rPr>
          <w:rFonts w:hint="eastAsia" w:ascii="宋体" w:hAnsi="宋体"/>
          <w:color w:val="000000" w:themeColor="text1"/>
          <w:kern w:val="0"/>
          <w:szCs w:val="20"/>
          <w14:textFill>
            <w14:solidFill>
              <w14:schemeClr w14:val="tx1"/>
            </w14:solidFill>
          </w14:textFill>
        </w:rPr>
        <w:t>《报价一览</w:t>
      </w:r>
      <w:r>
        <w:rPr>
          <w:rFonts w:hint="eastAsia" w:ascii="宋体" w:hAnsi="宋体" w:eastAsia="宋体" w:cs="Times New Roman"/>
          <w:color w:val="000000" w:themeColor="text1"/>
          <w:kern w:val="0"/>
          <w:szCs w:val="20"/>
          <w14:textFill>
            <w14:solidFill>
              <w14:schemeClr w14:val="tx1"/>
            </w14:solidFill>
          </w14:textFill>
        </w:rPr>
        <w:t>表</w:t>
      </w:r>
      <w:r>
        <w:rPr>
          <w:rFonts w:hint="eastAsia" w:ascii="宋体" w:hAnsi="宋体"/>
          <w:color w:val="000000" w:themeColor="text1"/>
          <w:kern w:val="0"/>
          <w:szCs w:val="20"/>
          <w14:textFill>
            <w14:solidFill>
              <w14:schemeClr w14:val="tx1"/>
            </w14:solidFill>
          </w14:textFill>
        </w:rPr>
        <w:t>》</w:t>
      </w:r>
      <w:r>
        <w:rPr>
          <w:rFonts w:hint="eastAsia" w:ascii="宋体" w:hAnsi="宋体" w:eastAsia="宋体" w:cs="Times New Roman"/>
          <w:color w:val="000000" w:themeColor="text1"/>
          <w:kern w:val="0"/>
          <w:szCs w:val="20"/>
          <w14:textFill>
            <w14:solidFill>
              <w14:schemeClr w14:val="tx1"/>
            </w14:solidFill>
          </w14:textFill>
        </w:rPr>
        <w:t>中</w:t>
      </w:r>
      <w:r>
        <w:rPr>
          <w:rFonts w:hint="eastAsia" w:ascii="宋体" w:hAnsi="宋体"/>
          <w:color w:val="000000" w:themeColor="text1"/>
          <w:kern w:val="0"/>
          <w:szCs w:val="20"/>
          <w14:textFill>
            <w14:solidFill>
              <w14:schemeClr w14:val="tx1"/>
            </w14:solidFill>
          </w14:textFill>
        </w:rPr>
        <w:t>的报价</w:t>
      </w:r>
      <w:r>
        <w:rPr>
          <w:rFonts w:hint="eastAsia" w:ascii="宋体" w:hAnsi="宋体" w:eastAsia="宋体" w:cs="Times New Roman"/>
          <w:color w:val="000000" w:themeColor="text1"/>
          <w:kern w:val="0"/>
          <w:szCs w:val="20"/>
          <w14:textFill>
            <w14:solidFill>
              <w14:schemeClr w14:val="tx1"/>
            </w14:solidFill>
          </w14:textFill>
        </w:rPr>
        <w:t>一致，否则报价无效；</w:t>
      </w:r>
    </w:p>
    <w:p w14:paraId="34B3173C">
      <w:pPr>
        <w:pStyle w:val="23"/>
        <w:numPr>
          <w:ilvl w:val="0"/>
          <w:numId w:val="3"/>
        </w:numPr>
        <w:spacing w:line="300" w:lineRule="exact"/>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各项检测费按全费用综合单价包干报价，报价已含所需的检测费、劳务费、材料费、仪器工具使用费、进退场费、交通费、差旅费、保险费、试验费、报告编写费、实物工作收费、技术工作收费、参加相关验收的费用、各项管理费，以及所有因对应标段服务工作应交纳的政府规费、利润、税金等全部费用。如出现在上表已列项目需增加的检测量及未列的项目，均视为已计入暂列金，并按本询价文件付款方式的相应条款执行。</w:t>
      </w:r>
    </w:p>
    <w:p w14:paraId="31A7AC7D">
      <w:pPr>
        <w:pStyle w:val="13"/>
        <w:numPr>
          <w:ilvl w:val="0"/>
          <w:numId w:val="3"/>
        </w:numPr>
        <w:ind w:firstLineChars="0"/>
        <w:rPr>
          <w:color w:val="000000" w:themeColor="text1"/>
          <w14:textFill>
            <w14:solidFill>
              <w14:schemeClr w14:val="tx1"/>
            </w14:solidFill>
          </w14:textFill>
        </w:rPr>
      </w:pPr>
      <w:r>
        <w:rPr>
          <w:rFonts w:hint="eastAsia" w:ascii="宋体" w:hAnsi="宋体" w:eastAsia="宋体" w:cs="Times New Roman"/>
          <w:color w:val="000000" w:themeColor="text1"/>
          <w:kern w:val="0"/>
          <w:sz w:val="21"/>
          <w:szCs w:val="20"/>
          <w14:textFill>
            <w14:solidFill>
              <w14:schemeClr w14:val="tx1"/>
            </w14:solidFill>
          </w14:textFill>
        </w:rPr>
        <w:t>当《清单报价表》内的工程量增加或检测内容调整必须使用暂列金时，增加的总金额不得超过暂列金，若超过暂列金则按暂列金结算。</w:t>
      </w:r>
    </w:p>
    <w:p w14:paraId="10849DAD">
      <w:pPr>
        <w:pStyle w:val="23"/>
        <w:widowControl/>
        <w:numPr>
          <w:ilvl w:val="0"/>
          <w:numId w:val="3"/>
        </w:numPr>
        <w:spacing w:line="300" w:lineRule="exact"/>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如有其他特殊说明事项，可在“备注”栏内明确表述。</w:t>
      </w:r>
    </w:p>
    <w:p w14:paraId="5AD65A90">
      <w:pPr>
        <w:pStyle w:val="23"/>
        <w:spacing w:line="360" w:lineRule="auto"/>
        <w:ind w:left="362" w:right="210"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供应商名称（单位公章）：</w:t>
      </w:r>
    </w:p>
    <w:p w14:paraId="6111587B">
      <w:pPr>
        <w:pStyle w:val="23"/>
        <w:spacing w:line="360" w:lineRule="auto"/>
        <w:ind w:left="362" w:right="210" w:firstLine="0" w:firstLineChars="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r>
        <w:rPr>
          <w:rFonts w:hint="eastAsia" w:ascii="宋体" w:hAnsi="宋体"/>
          <w:color w:val="000000" w:themeColor="text1"/>
          <w:szCs w:val="21"/>
          <w14:textFill>
            <w14:solidFill>
              <w14:schemeClr w14:val="tx1"/>
            </w14:solidFill>
          </w14:textFill>
        </w:rPr>
        <w:br w:type="page"/>
      </w:r>
    </w:p>
    <w:p w14:paraId="71769DED">
      <w:pPr>
        <w:keepNext/>
        <w:keepLines/>
        <w:autoSpaceDE w:val="0"/>
        <w:autoSpaceDN w:val="0"/>
        <w:adjustRightInd w:val="0"/>
        <w:spacing w:before="260" w:after="260" w:line="360" w:lineRule="exact"/>
        <w:jc w:val="center"/>
        <w:outlineLvl w:val="1"/>
        <w:rPr>
          <w:rFonts w:ascii="宋体" w:hAnsi="宋体" w:cs="Arial"/>
          <w:b/>
          <w:bCs/>
          <w:color w:val="000000" w:themeColor="text1"/>
          <w:sz w:val="28"/>
          <w:szCs w:val="28"/>
          <w:lang w:val="zh-CN"/>
          <w14:textFill>
            <w14:solidFill>
              <w14:schemeClr w14:val="tx1"/>
            </w14:solidFill>
          </w14:textFill>
        </w:rPr>
      </w:pPr>
      <w:r>
        <w:rPr>
          <w:rFonts w:hint="eastAsia" w:ascii="宋体" w:hAnsi="宋体" w:cs="Arial"/>
          <w:b/>
          <w:bCs/>
          <w:color w:val="000000" w:themeColor="text1"/>
          <w:sz w:val="28"/>
          <w:szCs w:val="28"/>
          <w:lang w:val="zh-CN"/>
          <w14:textFill>
            <w14:solidFill>
              <w14:schemeClr w14:val="tx1"/>
            </w14:solidFill>
          </w14:textFill>
        </w:rPr>
        <w:t>格式</w:t>
      </w:r>
      <w:r>
        <w:rPr>
          <w:rFonts w:ascii="宋体" w:hAnsi="宋体" w:cs="Arial"/>
          <w:b/>
          <w:bCs/>
          <w:color w:val="000000" w:themeColor="text1"/>
          <w:sz w:val="28"/>
          <w:szCs w:val="28"/>
          <w14:textFill>
            <w14:solidFill>
              <w14:schemeClr w14:val="tx1"/>
            </w14:solidFill>
          </w14:textFill>
        </w:rPr>
        <w:t>3</w:t>
      </w:r>
      <w:r>
        <w:rPr>
          <w:rFonts w:hint="eastAsia" w:ascii="宋体" w:hAnsi="宋体" w:cs="Arial"/>
          <w:b/>
          <w:bCs/>
          <w:color w:val="000000" w:themeColor="text1"/>
          <w:sz w:val="28"/>
          <w:szCs w:val="28"/>
          <w:lang w:val="zh-CN"/>
          <w14:textFill>
            <w14:solidFill>
              <w14:schemeClr w14:val="tx1"/>
            </w14:solidFill>
          </w14:textFill>
        </w:rPr>
        <w:t xml:space="preserve">  实质性响应一览表</w:t>
      </w:r>
    </w:p>
    <w:tbl>
      <w:tblPr>
        <w:tblStyle w:val="1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5954"/>
        <w:gridCol w:w="1134"/>
        <w:gridCol w:w="1021"/>
      </w:tblGrid>
      <w:tr w14:paraId="6AF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1" w:type="dxa"/>
            <w:vAlign w:val="center"/>
          </w:tcPr>
          <w:p w14:paraId="307CEA07">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50" w:type="dxa"/>
            <w:vAlign w:val="center"/>
          </w:tcPr>
          <w:p w14:paraId="4C813F42">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技术指标条目</w:t>
            </w:r>
          </w:p>
        </w:tc>
        <w:tc>
          <w:tcPr>
            <w:tcW w:w="5954" w:type="dxa"/>
            <w:vAlign w:val="center"/>
          </w:tcPr>
          <w:p w14:paraId="31CA1D88">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询价文件要求</w:t>
            </w:r>
          </w:p>
        </w:tc>
        <w:tc>
          <w:tcPr>
            <w:tcW w:w="1134" w:type="dxa"/>
            <w:vAlign w:val="center"/>
          </w:tcPr>
          <w:p w14:paraId="1EBB39D8">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报价文件响应</w:t>
            </w:r>
          </w:p>
        </w:tc>
        <w:tc>
          <w:tcPr>
            <w:tcW w:w="1021" w:type="dxa"/>
            <w:vAlign w:val="center"/>
          </w:tcPr>
          <w:p w14:paraId="52A95476">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1686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421" w:type="dxa"/>
            <w:vAlign w:val="center"/>
          </w:tcPr>
          <w:p w14:paraId="362AFE4B">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09ACCB43">
            <w:pPr>
              <w:spacing w:line="360" w:lineRule="exact"/>
              <w:jc w:val="center"/>
              <w:rPr>
                <w:rFonts w:ascii="宋体" w:hAnsi="宋体"/>
                <w:color w:val="000000" w:themeColor="text1"/>
                <w:szCs w:val="21"/>
                <w14:textFill>
                  <w14:solidFill>
                    <w14:schemeClr w14:val="tx1"/>
                  </w14:solidFill>
                </w14:textFill>
              </w:rPr>
            </w:pPr>
          </w:p>
        </w:tc>
        <w:tc>
          <w:tcPr>
            <w:tcW w:w="850" w:type="dxa"/>
            <w:vAlign w:val="center"/>
          </w:tcPr>
          <w:p w14:paraId="64C155E2">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w:t>
            </w:r>
          </w:p>
          <w:p w14:paraId="0F13F511">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w:t>
            </w:r>
          </w:p>
          <w:p w14:paraId="15C7C2F6">
            <w:pPr>
              <w:spacing w:line="360" w:lineRule="exact"/>
              <w:jc w:val="center"/>
              <w:rPr>
                <w:rFonts w:ascii="宋体" w:hAnsi="宋体"/>
                <w:color w:val="000000" w:themeColor="text1"/>
                <w:szCs w:val="21"/>
                <w14:textFill>
                  <w14:solidFill>
                    <w14:schemeClr w14:val="tx1"/>
                  </w14:solidFill>
                </w14:textFill>
              </w:rPr>
            </w:pPr>
          </w:p>
        </w:tc>
        <w:tc>
          <w:tcPr>
            <w:tcW w:w="5954" w:type="dxa"/>
          </w:tcPr>
          <w:p w14:paraId="53E64E8E">
            <w:pPr>
              <w:spacing w:line="3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供应商须提供质量技术监督管理部门颁发的CMA检验检测机构资质认定证书和建设行政主管部门颁发的建设工程质量检测机构资质证书，且检测服务期间证书在有效期内，以上证书中至少有一个证书的检测范围要包含《清单报价表》中涉及的检测对象和相应的检测参数，并提供相应佐证材料。</w:t>
            </w:r>
          </w:p>
        </w:tc>
        <w:tc>
          <w:tcPr>
            <w:tcW w:w="1134" w:type="dxa"/>
            <w:vAlign w:val="center"/>
          </w:tcPr>
          <w:p w14:paraId="06FD78D2">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666255ED">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详见（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）页</w:t>
            </w:r>
          </w:p>
          <w:p w14:paraId="533015D5">
            <w:pPr>
              <w:spacing w:line="300" w:lineRule="exact"/>
              <w:jc w:val="center"/>
              <w:rPr>
                <w:rFonts w:ascii="宋体" w:hAnsi="宋体"/>
                <w:color w:val="000000" w:themeColor="text1"/>
                <w:szCs w:val="21"/>
                <w14:textFill>
                  <w14:solidFill>
                    <w14:schemeClr w14:val="tx1"/>
                  </w14:solidFill>
                </w14:textFill>
              </w:rPr>
            </w:pPr>
          </w:p>
        </w:tc>
      </w:tr>
      <w:tr w14:paraId="77B8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21" w:type="dxa"/>
            <w:vAlign w:val="center"/>
          </w:tcPr>
          <w:p w14:paraId="7D12B00A">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50" w:type="dxa"/>
            <w:vAlign w:val="center"/>
          </w:tcPr>
          <w:p w14:paraId="377DB94D">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w:t>
            </w:r>
          </w:p>
          <w:p w14:paraId="3A009B10">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条件</w:t>
            </w:r>
          </w:p>
        </w:tc>
        <w:tc>
          <w:tcPr>
            <w:tcW w:w="5954" w:type="dxa"/>
          </w:tcPr>
          <w:p w14:paraId="2D51AC7D">
            <w:pPr>
              <w:spacing w:line="3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供应商须在广州市住房和城乡建设局建立企业诚信档案，外省检测机构须按规定向广东省建设行政管理部门备案，并提供证明材料。</w:t>
            </w:r>
          </w:p>
        </w:tc>
        <w:tc>
          <w:tcPr>
            <w:tcW w:w="1134" w:type="dxa"/>
            <w:vAlign w:val="center"/>
          </w:tcPr>
          <w:p w14:paraId="03CA9B8C">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6C5B4A92">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详见（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）页</w:t>
            </w:r>
          </w:p>
        </w:tc>
      </w:tr>
      <w:tr w14:paraId="1280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21" w:type="dxa"/>
            <w:vAlign w:val="center"/>
          </w:tcPr>
          <w:p w14:paraId="2F2DF342">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0" w:type="dxa"/>
            <w:vAlign w:val="center"/>
          </w:tcPr>
          <w:p w14:paraId="04E7C618">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人员及</w:t>
            </w:r>
          </w:p>
          <w:p w14:paraId="2E4F73CB">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w:t>
            </w:r>
          </w:p>
        </w:tc>
        <w:tc>
          <w:tcPr>
            <w:tcW w:w="5954" w:type="dxa"/>
          </w:tcPr>
          <w:p w14:paraId="1DC53303">
            <w:pPr>
              <w:spacing w:line="3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供应商须根据本项目的检测内容及工期合理配备检测人员和设备，并提供人员组织构架和设备清单，项目负责人和检测人员须提供符合检测内容及相关法规要求的资质证书。</w:t>
            </w:r>
          </w:p>
        </w:tc>
        <w:tc>
          <w:tcPr>
            <w:tcW w:w="1134" w:type="dxa"/>
            <w:vAlign w:val="center"/>
          </w:tcPr>
          <w:p w14:paraId="077FD17E">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23E37E63">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详见（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）页</w:t>
            </w:r>
          </w:p>
        </w:tc>
      </w:tr>
      <w:tr w14:paraId="1E3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21" w:type="dxa"/>
            <w:vAlign w:val="center"/>
          </w:tcPr>
          <w:p w14:paraId="1CDBBA42">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50" w:type="dxa"/>
            <w:vAlign w:val="center"/>
          </w:tcPr>
          <w:p w14:paraId="2DBC3AB3">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p w14:paraId="290726C2">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证明</w:t>
            </w:r>
          </w:p>
        </w:tc>
        <w:tc>
          <w:tcPr>
            <w:tcW w:w="5954" w:type="dxa"/>
            <w:vAlign w:val="center"/>
          </w:tcPr>
          <w:p w14:paraId="223C154E">
            <w:pPr>
              <w:spacing w:line="3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供应商需提供20</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年1月1日以来供应商含空气污染物检测的同类业绩证明材料，须提供检测服务合同和检验报告。</w:t>
            </w:r>
          </w:p>
        </w:tc>
        <w:tc>
          <w:tcPr>
            <w:tcW w:w="1134" w:type="dxa"/>
            <w:vAlign w:val="center"/>
          </w:tcPr>
          <w:p w14:paraId="137FF9DA">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160ECFCD">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详见（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）页</w:t>
            </w:r>
          </w:p>
        </w:tc>
      </w:tr>
      <w:tr w14:paraId="34CF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421" w:type="dxa"/>
            <w:vAlign w:val="center"/>
          </w:tcPr>
          <w:p w14:paraId="272A088B">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850" w:type="dxa"/>
            <w:vAlign w:val="center"/>
          </w:tcPr>
          <w:p w14:paraId="6E327B7D">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5954" w:type="dxa"/>
          </w:tcPr>
          <w:p w14:paraId="2062287E">
            <w:pPr>
              <w:spacing w:line="3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w:t>
            </w:r>
          </w:p>
          <w:p w14:paraId="4607A7D8">
            <w:pPr>
              <w:spacing w:line="3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现场满足检测条件后，①建筑材料检测3个日历天内出具初步检测结果，7个日历天内出具检测报告；②室内环境污染物检测3个日历天内出具该批次的检测报告，不得因检测工作滞后影响工程进度（检测单位须根据现场施工进度及时开展检测鉴定工作，并分批出具检测数据及成果文件）。</w:t>
            </w:r>
          </w:p>
        </w:tc>
        <w:tc>
          <w:tcPr>
            <w:tcW w:w="1134" w:type="dxa"/>
            <w:vAlign w:val="center"/>
          </w:tcPr>
          <w:p w14:paraId="55EF86F0">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1B7ABB5D">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549C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1" w:type="dxa"/>
            <w:vAlign w:val="center"/>
          </w:tcPr>
          <w:p w14:paraId="3D577B8C">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50" w:type="dxa"/>
            <w:vAlign w:val="center"/>
          </w:tcPr>
          <w:p w14:paraId="02A73555">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下浮率</w:t>
            </w:r>
          </w:p>
        </w:tc>
        <w:tc>
          <w:tcPr>
            <w:tcW w:w="5954" w:type="dxa"/>
          </w:tcPr>
          <w:p w14:paraId="49ADFE93">
            <w:pPr>
              <w:spacing w:line="3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供应商在《报价一览表》中填报的下浮率不得少于3</w:t>
            </w:r>
            <w:r>
              <w:rPr>
                <w:rFonts w:ascii="宋体" w:hAnsi="宋体" w:cs="宋体"/>
                <w:color w:val="000000" w:themeColor="text1"/>
                <w14:textFill>
                  <w14:solidFill>
                    <w14:schemeClr w14:val="tx1"/>
                  </w14:solidFill>
                </w14:textFill>
              </w:rPr>
              <w:t>0%</w:t>
            </w:r>
          </w:p>
        </w:tc>
        <w:tc>
          <w:tcPr>
            <w:tcW w:w="1134" w:type="dxa"/>
            <w:vAlign w:val="center"/>
          </w:tcPr>
          <w:p w14:paraId="0F48A722">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3B174F40">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7788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21" w:type="dxa"/>
            <w:vAlign w:val="center"/>
          </w:tcPr>
          <w:p w14:paraId="43A0C5AF">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50" w:type="dxa"/>
            <w:vAlign w:val="center"/>
          </w:tcPr>
          <w:p w14:paraId="17E9A465">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暂列金使用</w:t>
            </w:r>
          </w:p>
        </w:tc>
        <w:tc>
          <w:tcPr>
            <w:tcW w:w="5954" w:type="dxa"/>
          </w:tcPr>
          <w:p w14:paraId="58BB2BCF">
            <w:pPr>
              <w:spacing w:line="300" w:lineRule="exact"/>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《清单报价表》内的工程量增加或检测内容调整必须使用暂列金时，可由双方协商一致，并以书面形式确定，增加的总金额不得超过暂列金，若超过暂列金则按暂列金结算</w:t>
            </w:r>
          </w:p>
        </w:tc>
        <w:tc>
          <w:tcPr>
            <w:tcW w:w="1134" w:type="dxa"/>
            <w:vAlign w:val="center"/>
          </w:tcPr>
          <w:p w14:paraId="3614EE99">
            <w:pPr>
              <w:spacing w:line="360" w:lineRule="exact"/>
              <w:jc w:val="center"/>
              <w:rPr>
                <w:rFonts w:ascii="宋体" w:hAnsi="宋体"/>
                <w:color w:val="000000" w:themeColor="text1"/>
                <w:szCs w:val="21"/>
                <w14:textFill>
                  <w14:solidFill>
                    <w14:schemeClr w14:val="tx1"/>
                  </w14:solidFill>
                </w14:textFill>
              </w:rPr>
            </w:pPr>
          </w:p>
        </w:tc>
        <w:tc>
          <w:tcPr>
            <w:tcW w:w="1021" w:type="dxa"/>
            <w:vAlign w:val="center"/>
          </w:tcPr>
          <w:p w14:paraId="232774BB">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14:paraId="7F88CA6F">
      <w:pPr>
        <w:spacing w:line="300" w:lineRule="exact"/>
        <w:ind w:left="840" w:hanging="840" w:hanging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说明：1.报价文件应达到询价文件的技术要求，供应商在“报价文件响应”栏中必须逐项响应技术要求，注明</w:t>
      </w:r>
      <w:r>
        <w:rPr>
          <w:rFonts w:hint="eastAsia" w:ascii="宋体" w:hAnsi="宋体"/>
          <w:b/>
          <w:color w:val="000000" w:themeColor="text1"/>
          <w:szCs w:val="21"/>
          <w14:textFill>
            <w14:solidFill>
              <w14:schemeClr w14:val="tx1"/>
            </w14:solidFill>
          </w14:textFill>
        </w:rPr>
        <w:t>“完全响应”</w:t>
      </w:r>
      <w:r>
        <w:rPr>
          <w:rFonts w:hint="eastAsia" w:ascii="宋体" w:hAnsi="宋体"/>
          <w:color w:val="000000" w:themeColor="text1"/>
          <w:szCs w:val="21"/>
          <w14:textFill>
            <w14:solidFill>
              <w14:schemeClr w14:val="tx1"/>
            </w14:solidFill>
          </w14:textFill>
        </w:rPr>
        <w:t>，如未填报完全响应，则报价无效</w:t>
      </w:r>
      <w:r>
        <w:rPr>
          <w:rFonts w:hint="eastAsia" w:ascii="宋体" w:hAnsi="宋体"/>
          <w:b/>
          <w:color w:val="000000" w:themeColor="text1"/>
          <w:szCs w:val="21"/>
          <w14:textFill>
            <w14:solidFill>
              <w14:schemeClr w14:val="tx1"/>
            </w14:solidFill>
          </w14:textFill>
        </w:rPr>
        <w:t>。</w:t>
      </w:r>
    </w:p>
    <w:p w14:paraId="2A650BA1">
      <w:pPr>
        <w:spacing w:line="3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2.供应商认为有必要列示的其它指标可在表中列出。</w:t>
      </w:r>
    </w:p>
    <w:p w14:paraId="7AFEED12">
      <w:pPr>
        <w:pStyle w:val="13"/>
        <w:ind w:firstLine="240"/>
        <w:rPr>
          <w:color w:val="000000" w:themeColor="text1"/>
          <w14:textFill>
            <w14:solidFill>
              <w14:schemeClr w14:val="tx1"/>
            </w14:solidFill>
          </w14:textFill>
        </w:rPr>
      </w:pPr>
    </w:p>
    <w:p w14:paraId="7CC3DA55">
      <w:pPr>
        <w:pStyle w:val="13"/>
        <w:ind w:firstLine="240"/>
        <w:rPr>
          <w:color w:val="000000" w:themeColor="text1"/>
          <w14:textFill>
            <w14:solidFill>
              <w14:schemeClr w14:val="tx1"/>
            </w14:solidFill>
          </w14:textFill>
        </w:rPr>
      </w:pPr>
    </w:p>
    <w:p w14:paraId="4711688F">
      <w:pPr>
        <w:pStyle w:val="13"/>
        <w:ind w:firstLine="240"/>
        <w:rPr>
          <w:color w:val="000000" w:themeColor="text1"/>
          <w14:textFill>
            <w14:solidFill>
              <w14:schemeClr w14:val="tx1"/>
            </w14:solidFill>
          </w14:textFill>
        </w:rPr>
      </w:pPr>
    </w:p>
    <w:p w14:paraId="375954A1">
      <w:pPr>
        <w:tabs>
          <w:tab w:val="left" w:pos="905"/>
        </w:tabs>
        <w:autoSpaceDE w:val="0"/>
        <w:autoSpaceDN w:val="0"/>
        <w:adjustRightInd w:val="0"/>
        <w:spacing w:line="420" w:lineRule="exact"/>
        <w:ind w:right="147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供应商（公章）：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2C09AA31">
      <w:pPr>
        <w:tabs>
          <w:tab w:val="left" w:pos="905"/>
        </w:tabs>
        <w:autoSpaceDE w:val="0"/>
        <w:autoSpaceDN w:val="0"/>
        <w:adjustRightInd w:val="0"/>
        <w:spacing w:line="420" w:lineRule="exact"/>
        <w:ind w:right="24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法定代表人（或授权代表人）：</w:t>
      </w:r>
    </w:p>
    <w:p w14:paraId="3A921E68">
      <w:pPr>
        <w:tabs>
          <w:tab w:val="left" w:pos="905"/>
        </w:tabs>
        <w:autoSpaceDE w:val="0"/>
        <w:autoSpaceDN w:val="0"/>
        <w:adjustRightInd w:val="0"/>
        <w:spacing w:line="42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   期</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年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月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58D70B83">
      <w:pPr>
        <w:pStyle w:val="21"/>
        <w:spacing w:line="360" w:lineRule="auto"/>
        <w:jc w:val="center"/>
        <w:rPr>
          <w:rFonts w:hAnsi="宋体" w:cs="Courier New"/>
          <w:b/>
          <w:color w:val="000000" w:themeColor="text1"/>
          <w:kern w:val="0"/>
          <w:sz w:val="28"/>
          <w:szCs w:val="28"/>
          <w14:textFill>
            <w14:solidFill>
              <w14:schemeClr w14:val="tx1"/>
            </w14:solidFill>
          </w14:textFill>
        </w:rPr>
      </w:pPr>
    </w:p>
    <w:p w14:paraId="6B9044A8">
      <w:pPr>
        <w:pStyle w:val="21"/>
        <w:spacing w:line="360" w:lineRule="auto"/>
        <w:jc w:val="center"/>
        <w:rPr>
          <w:rFonts w:hint="eastAsia" w:hAnsi="宋体" w:cs="Courier New"/>
          <w:b/>
          <w:color w:val="000000" w:themeColor="text1"/>
          <w:kern w:val="0"/>
          <w:sz w:val="28"/>
          <w:szCs w:val="28"/>
          <w14:textFill>
            <w14:solidFill>
              <w14:schemeClr w14:val="tx1"/>
            </w14:solidFill>
          </w14:textFill>
        </w:rPr>
      </w:pPr>
    </w:p>
    <w:p w14:paraId="39ADA595">
      <w:pPr>
        <w:pStyle w:val="21"/>
        <w:spacing w:line="360" w:lineRule="auto"/>
        <w:jc w:val="center"/>
        <w:rPr>
          <w:rFonts w:hint="eastAsia" w:hAnsi="宋体" w:cs="Courier New"/>
          <w:b/>
          <w:color w:val="000000" w:themeColor="text1"/>
          <w:kern w:val="0"/>
          <w:sz w:val="28"/>
          <w:szCs w:val="28"/>
          <w14:textFill>
            <w14:solidFill>
              <w14:schemeClr w14:val="tx1"/>
            </w14:solidFill>
          </w14:textFill>
        </w:rPr>
      </w:pPr>
    </w:p>
    <w:p w14:paraId="2E05D944">
      <w:pPr>
        <w:pStyle w:val="21"/>
        <w:spacing w:line="360" w:lineRule="auto"/>
        <w:jc w:val="center"/>
        <w:rPr>
          <w:rFonts w:hAnsi="宋体" w:cs="Courier New"/>
          <w:b/>
          <w:color w:val="000000" w:themeColor="text1"/>
          <w:kern w:val="0"/>
          <w:sz w:val="28"/>
          <w:szCs w:val="28"/>
          <w14:textFill>
            <w14:solidFill>
              <w14:schemeClr w14:val="tx1"/>
            </w14:solidFill>
          </w14:textFill>
        </w:rPr>
      </w:pPr>
      <w:r>
        <w:rPr>
          <w:rFonts w:hint="eastAsia" w:hAnsi="宋体" w:cs="Courier New"/>
          <w:b/>
          <w:color w:val="000000" w:themeColor="text1"/>
          <w:kern w:val="0"/>
          <w:sz w:val="28"/>
          <w:szCs w:val="28"/>
          <w14:textFill>
            <w14:solidFill>
              <w14:schemeClr w14:val="tx1"/>
            </w14:solidFill>
          </w14:textFill>
        </w:rPr>
        <w:t>格式4  法定代表人身份证明书</w:t>
      </w:r>
    </w:p>
    <w:p w14:paraId="3475BED2">
      <w:pPr>
        <w:pStyle w:val="4"/>
        <w:spacing w:line="36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广州大学：</w:t>
      </w:r>
    </w:p>
    <w:p w14:paraId="5726E4F5">
      <w:pPr>
        <w:pStyle w:val="4"/>
        <w:spacing w:line="360" w:lineRule="auto"/>
        <w:ind w:firstLine="240" w:firstLineChars="100"/>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同志，现任我单位</w:t>
      </w:r>
      <w:r>
        <w:rPr>
          <w:rFonts w:hint="eastAsia" w:ascii="宋体" w:hAnsi="宋体"/>
          <w:color w:val="000000" w:themeColor="text1"/>
          <w:sz w:val="24"/>
          <w:szCs w:val="21"/>
          <w:u w:val="single"/>
          <w14:textFill>
            <w14:solidFill>
              <w14:schemeClr w14:val="tx1"/>
            </w14:solidFill>
          </w14:textFill>
        </w:rPr>
        <w:t xml:space="preserve"> </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职务，为法定代表人，特此证明。</w:t>
      </w:r>
    </w:p>
    <w:p w14:paraId="0876BFCE">
      <w:pPr>
        <w:pStyle w:val="4"/>
        <w:spacing w:line="360" w:lineRule="auto"/>
        <w:ind w:firstLine="480"/>
        <w:rPr>
          <w:rFonts w:ascii="宋体" w:hAnsi="宋体"/>
          <w:color w:val="000000" w:themeColor="text1"/>
          <w:sz w:val="24"/>
          <w:szCs w:val="21"/>
          <w14:textFill>
            <w14:solidFill>
              <w14:schemeClr w14:val="tx1"/>
            </w14:solidFill>
          </w14:textFill>
        </w:rPr>
      </w:pPr>
    </w:p>
    <w:p w14:paraId="1A4BC8A1">
      <w:pPr>
        <w:pStyle w:val="4"/>
        <w:spacing w:line="360" w:lineRule="auto"/>
        <w:ind w:firstLine="5040" w:firstLineChars="2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单位：（公章）</w:t>
      </w:r>
    </w:p>
    <w:p w14:paraId="4C77FE69">
      <w:pPr>
        <w:pStyle w:val="4"/>
        <w:spacing w:line="360" w:lineRule="auto"/>
        <w:ind w:firstLine="5040" w:firstLineChars="2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A4ADB9C">
      <w:pPr>
        <w:pStyle w:val="4"/>
        <w:spacing w:line="360" w:lineRule="auto"/>
        <w:ind w:firstLine="480"/>
        <w:rPr>
          <w:rFonts w:ascii="宋体" w:hAnsi="宋体"/>
          <w:color w:val="000000" w:themeColor="text1"/>
          <w:sz w:val="24"/>
          <w:szCs w:val="21"/>
          <w14:textFill>
            <w14:solidFill>
              <w14:schemeClr w14:val="tx1"/>
            </w14:solidFill>
          </w14:textFill>
        </w:rPr>
      </w:pPr>
    </w:p>
    <w:p w14:paraId="48FAE638">
      <w:pPr>
        <w:pStyle w:val="4"/>
        <w:spacing w:line="360" w:lineRule="auto"/>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附：</w:t>
      </w:r>
    </w:p>
    <w:p w14:paraId="0C8CAE0E">
      <w:pPr>
        <w:pStyle w:val="4"/>
        <w:spacing w:line="360" w:lineRule="auto"/>
        <w:ind w:firstLine="48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代表人性别：   年龄：    身份证号码：</w:t>
      </w:r>
    </w:p>
    <w:p w14:paraId="3B45E6CE">
      <w:pPr>
        <w:pStyle w:val="4"/>
        <w:spacing w:line="360" w:lineRule="auto"/>
        <w:ind w:firstLine="48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联系电话：</w:t>
      </w:r>
    </w:p>
    <w:p w14:paraId="2DB72A23">
      <w:pPr>
        <w:pStyle w:val="4"/>
        <w:spacing w:line="360" w:lineRule="auto"/>
        <w:ind w:firstLine="48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营业执照号码：            经济性质：</w:t>
      </w:r>
    </w:p>
    <w:p w14:paraId="3EE85D20">
      <w:pPr>
        <w:pStyle w:val="4"/>
        <w:spacing w:line="360" w:lineRule="auto"/>
        <w:ind w:firstLine="48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主营（产）：</w:t>
      </w:r>
    </w:p>
    <w:p w14:paraId="1AD412C6">
      <w:pPr>
        <w:pStyle w:val="4"/>
        <w:spacing w:line="360" w:lineRule="auto"/>
        <w:ind w:firstLine="48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兼营（产）：</w:t>
      </w:r>
    </w:p>
    <w:p w14:paraId="7AEB7A08">
      <w:pPr>
        <w:pStyle w:val="4"/>
        <w:spacing w:line="360" w:lineRule="auto"/>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说明：1、法定代表人为企事业单位、国家机关、社会团体的主要行政负责人。</w:t>
      </w:r>
    </w:p>
    <w:p w14:paraId="2AE8526E">
      <w:pPr>
        <w:pStyle w:val="4"/>
        <w:spacing w:line="360" w:lineRule="auto"/>
        <w:ind w:firstLine="1200" w:firstLineChars="5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2、内容必须填写真实、清楚、涂改无效，不得转让、买卖。</w:t>
      </w:r>
    </w:p>
    <w:p w14:paraId="1768009A">
      <w:pPr>
        <w:pStyle w:val="12"/>
        <w:spacing w:line="300" w:lineRule="auto"/>
        <w:rPr>
          <w:rFonts w:cs="Arial"/>
          <w:bCs/>
          <w:color w:val="000000" w:themeColor="text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10160</wp:posOffset>
                </wp:positionV>
                <wp:extent cx="5263515" cy="2803525"/>
                <wp:effectExtent l="0" t="0" r="13335" b="15875"/>
                <wp:wrapNone/>
                <wp:docPr id="6" name="流程图: 可选过程 6"/>
                <wp:cNvGraphicFramePr/>
                <a:graphic xmlns:a="http://schemas.openxmlformats.org/drawingml/2006/main">
                  <a:graphicData uri="http://schemas.microsoft.com/office/word/2010/wordprocessingShape">
                    <wps:wsp>
                      <wps:cNvSpPr/>
                      <wps:spPr>
                        <a:xfrm>
                          <a:off x="0" y="0"/>
                          <a:ext cx="5263515" cy="280358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2BBBB215">
                            <w:pPr>
                              <w:rPr>
                                <w:b/>
                                <w:sz w:val="22"/>
                              </w:rPr>
                            </w:pPr>
                            <w:r>
                              <w:rPr>
                                <w:rFonts w:hint="eastAsia"/>
                                <w:b/>
                                <w:sz w:val="22"/>
                              </w:rPr>
                              <w:t>提示：请将法定代表人身份证复印件（正反面）粘贴在此处，并加盖公章。</w:t>
                            </w:r>
                          </w:p>
                          <w:p w14:paraId="41D23018">
                            <w:pPr>
                              <w:rPr>
                                <w:b/>
                                <w:sz w:val="22"/>
                              </w:rPr>
                            </w:pPr>
                          </w:p>
                        </w:txbxContent>
                      </wps:txbx>
                      <wps:bodyPr wrap="square" upright="1">
                        <a:noAutofit/>
                      </wps:bodyPr>
                    </wps:wsp>
                  </a:graphicData>
                </a:graphic>
              </wp:anchor>
            </w:drawing>
          </mc:Choice>
          <mc:Fallback>
            <w:pict>
              <v:shape id="_x0000_s1026" o:spid="_x0000_s1026" o:spt="176" type="#_x0000_t176" style="position:absolute;left:0pt;margin-left:13.9pt;margin-top:0.8pt;height:220.75pt;width:414.45pt;z-index:251660288;mso-width-relative:page;mso-height-relative:page;" fillcolor="#FFFFFF" filled="t" stroked="t" coordsize="21600,21600" o:gfxdata="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rEkFbZAAAACAEAAA8AAAAAAAAAAQAgAAAAIgAAAGRy&#10;cy9kb3ducmV2LnhtbFBLAQIUABQAAAAIAIdO4kCj1NGnPQIAAHcEAAAOAAAAAAAAAAEAIAAAACgB&#10;AABkcnMvZTJvRG9jLnhtbFBLBQYAAAAABgAGAFkBAADXBQAAAAA=&#10;">
                <v:fill on="t" focussize="0,0"/>
                <v:stroke color="#000000" joinstyle="miter" dashstyle="dash"/>
                <v:imagedata o:title=""/>
                <o:lock v:ext="edit" aspectratio="f"/>
                <v:textbox>
                  <w:txbxContent>
                    <w:p w14:paraId="2BBBB215">
                      <w:pPr>
                        <w:rPr>
                          <w:b/>
                          <w:sz w:val="22"/>
                        </w:rPr>
                      </w:pPr>
                      <w:r>
                        <w:rPr>
                          <w:rFonts w:hint="eastAsia"/>
                          <w:b/>
                          <w:sz w:val="22"/>
                        </w:rPr>
                        <w:t>提示：请将法定代表人身份证复印件（正反面）粘贴在此处，并加盖公章。</w:t>
                      </w:r>
                    </w:p>
                    <w:p w14:paraId="41D23018">
                      <w:pPr>
                        <w:rPr>
                          <w:b/>
                          <w:sz w:val="22"/>
                        </w:rPr>
                      </w:pPr>
                    </w:p>
                  </w:txbxContent>
                </v:textbox>
              </v:shape>
            </w:pict>
          </mc:Fallback>
        </mc:AlternateContent>
      </w:r>
    </w:p>
    <w:p w14:paraId="628B0D0A">
      <w:pPr>
        <w:pStyle w:val="12"/>
        <w:spacing w:line="300" w:lineRule="auto"/>
        <w:rPr>
          <w:rFonts w:cs="Arial"/>
          <w:bCs/>
          <w:color w:val="000000" w:themeColor="text1"/>
          <w14:textFill>
            <w14:solidFill>
              <w14:schemeClr w14:val="tx1"/>
            </w14:solidFill>
          </w14:textFill>
        </w:rPr>
      </w:pPr>
    </w:p>
    <w:p w14:paraId="49E300ED">
      <w:pPr>
        <w:pStyle w:val="12"/>
        <w:spacing w:line="300" w:lineRule="auto"/>
        <w:rPr>
          <w:rFonts w:cs="Arial"/>
          <w:bCs/>
          <w:color w:val="000000" w:themeColor="text1"/>
          <w14:textFill>
            <w14:solidFill>
              <w14:schemeClr w14:val="tx1"/>
            </w14:solidFill>
          </w14:textFill>
        </w:rPr>
      </w:pPr>
    </w:p>
    <w:p w14:paraId="3E710EB6">
      <w:pPr>
        <w:pStyle w:val="7"/>
        <w:pageBreakBefore/>
        <w:jc w:val="center"/>
        <w:rPr>
          <w:rFonts w:hAnsi="宋体" w:cs="Arial"/>
          <w:bCs/>
          <w:color w:val="000000" w:themeColor="text1"/>
          <w:sz w:val="24"/>
          <w:szCs w:val="24"/>
          <w14:textFill>
            <w14:solidFill>
              <w14:schemeClr w14:val="tx1"/>
            </w14:solidFill>
          </w14:textFill>
        </w:rPr>
      </w:pPr>
      <w:r>
        <w:rPr>
          <w:rFonts w:hint="eastAsia" w:hAnsi="宋体"/>
          <w:b/>
          <w:color w:val="000000" w:themeColor="text1"/>
          <w:sz w:val="28"/>
          <w:szCs w:val="28"/>
          <w:lang w:val="en-GB"/>
          <w14:textFill>
            <w14:solidFill>
              <w14:schemeClr w14:val="tx1"/>
            </w14:solidFill>
          </w14:textFill>
        </w:rPr>
        <w:t>格式5</w:t>
      </w:r>
      <w:r>
        <w:rPr>
          <w:rFonts w:hint="eastAsia" w:hAnsi="宋体"/>
          <w:b/>
          <w:color w:val="000000" w:themeColor="text1"/>
          <w:sz w:val="28"/>
          <w:szCs w:val="28"/>
          <w14:textFill>
            <w14:solidFill>
              <w14:schemeClr w14:val="tx1"/>
            </w14:solidFill>
          </w14:textFill>
        </w:rPr>
        <w:t>授权委托证明书</w:t>
      </w:r>
    </w:p>
    <w:p w14:paraId="5EE6E0D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广州大学：</w:t>
      </w:r>
    </w:p>
    <w:p w14:paraId="1A1361E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（报价单位全称）法定代表人（姓名）兹授权（授权代表姓名）为授权代表，参加贵方组织的项目询价活动。</w:t>
      </w:r>
    </w:p>
    <w:p w14:paraId="5257D71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（授权代表姓名）以我单位的名义并代表我单位签署报价书和所有报价文件，进行谈判、签署合同和全权处理招报价活动中的一切事宜，其在该项目招报价活动中的一切行为对我单位具有法律约束力。</w:t>
      </w:r>
    </w:p>
    <w:p w14:paraId="07EB143F">
      <w:pPr>
        <w:spacing w:line="360" w:lineRule="auto"/>
        <w:ind w:right="16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有效期限：至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14:paraId="1D0A3DCA">
      <w:pPr>
        <w:spacing w:line="360" w:lineRule="auto"/>
        <w:ind w:right="216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14:paraId="724DDF57">
      <w:pPr>
        <w:pStyle w:val="8"/>
        <w:spacing w:line="360" w:lineRule="auto"/>
        <w:ind w:right="216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法定代表人（签字）：</w:t>
      </w:r>
    </w:p>
    <w:p w14:paraId="651FADEF">
      <w:pPr>
        <w:spacing w:line="360" w:lineRule="auto"/>
        <w:ind w:right="19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年   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21C9B6E1">
      <w:pPr>
        <w:pStyle w:val="8"/>
        <w:spacing w:line="360" w:lineRule="auto"/>
        <w:ind w:right="240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授权代表（签字）：</w:t>
      </w:r>
    </w:p>
    <w:p w14:paraId="4C7B5A31">
      <w:pPr>
        <w:spacing w:line="360" w:lineRule="auto"/>
        <w:ind w:right="19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8DBF0A8">
      <w:pPr>
        <w:pStyle w:val="7"/>
        <w:wordWrap w:val="0"/>
        <w:spacing w:line="360" w:lineRule="auto"/>
        <w:ind w:left="3400" w:leftChars="1619"/>
        <w:jc w:val="right"/>
        <w:rPr>
          <w:rFonts w:hAnsi="宋体" w:cs="Arial"/>
          <w:color w:val="000000" w:themeColor="text1"/>
          <w:sz w:val="24"/>
          <w:szCs w:val="24"/>
          <w14:textFill>
            <w14:solidFill>
              <w14:schemeClr w14:val="tx1"/>
            </w14:solidFill>
          </w14:textFill>
        </w:rPr>
      </w:pPr>
    </w:p>
    <w:p w14:paraId="57FBE2AC">
      <w:pPr>
        <w:pStyle w:val="7"/>
        <w:spacing w:line="360" w:lineRule="auto"/>
        <w:ind w:right="960"/>
        <w:rPr>
          <w:rFonts w:hAnsi="宋体"/>
          <w:color w:val="000000" w:themeColor="text1"/>
          <w:sz w:val="24"/>
          <w:szCs w:val="24"/>
          <w14:textFill>
            <w14:solidFill>
              <w14:schemeClr w14:val="tx1"/>
            </w14:solidFill>
          </w14:textFill>
        </w:rPr>
      </w:pPr>
      <w:r>
        <w:rPr>
          <w:rFonts w:hint="eastAsia" w:hAnsi="宋体" w:cs="仿宋_GB2312"/>
          <w:color w:val="000000" w:themeColor="text1"/>
          <w:sz w:val="24"/>
          <w:szCs w:val="24"/>
          <w:lang w:val="zh-CN"/>
          <w14:textFill>
            <w14:solidFill>
              <w14:schemeClr w14:val="tx1"/>
            </w14:solidFill>
          </w14:textFill>
        </w:rPr>
        <w:t>说明：</w:t>
      </w:r>
    </w:p>
    <w:p w14:paraId="6F9455EC">
      <w:pPr>
        <w:pStyle w:val="7"/>
        <w:widowControl/>
        <w:numPr>
          <w:ilvl w:val="0"/>
          <w:numId w:val="4"/>
        </w:numPr>
        <w:tabs>
          <w:tab w:val="left" w:pos="360"/>
          <w:tab w:val="clear" w:pos="1264"/>
        </w:tabs>
        <w:spacing w:line="460" w:lineRule="exact"/>
        <w:ind w:hanging="1264"/>
        <w:rPr>
          <w:rFonts w:hAnsi="宋体" w:cs="仿宋_GB2312"/>
          <w:color w:val="000000" w:themeColor="text1"/>
          <w:sz w:val="24"/>
          <w:szCs w:val="24"/>
          <w:lang w:val="zh-CN"/>
          <w14:textFill>
            <w14:solidFill>
              <w14:schemeClr w14:val="tx1"/>
            </w14:solidFill>
          </w14:textFill>
        </w:rPr>
      </w:pPr>
      <w:r>
        <w:rPr>
          <w:rFonts w:hAnsi="宋体" w:cs="仿宋_GB2312"/>
          <w:color w:val="000000" w:themeColor="text1"/>
          <w:sz w:val="24"/>
          <w:szCs w:val="24"/>
          <w:lang w:val="zh-CN"/>
          <w14:textFill>
            <w14:solidFill>
              <w14:schemeClr w14:val="tx1"/>
            </w14:solidFill>
          </w14:textFill>
        </w:rPr>
        <w:t>法定代表人亲自签署</w:t>
      </w:r>
      <w:r>
        <w:rPr>
          <w:rFonts w:hint="eastAsia" w:hAnsi="宋体" w:cs="仿宋_GB2312"/>
          <w:color w:val="000000" w:themeColor="text1"/>
          <w:sz w:val="24"/>
          <w:szCs w:val="24"/>
          <w:lang w:val="zh-CN"/>
          <w14:textFill>
            <w14:solidFill>
              <w14:schemeClr w14:val="tx1"/>
            </w14:solidFill>
          </w14:textFill>
        </w:rPr>
        <w:t>“</w:t>
      </w:r>
      <w:r>
        <w:rPr>
          <w:rFonts w:hAnsi="宋体" w:cs="仿宋_GB2312"/>
          <w:color w:val="000000" w:themeColor="text1"/>
          <w:sz w:val="24"/>
          <w:szCs w:val="24"/>
          <w:lang w:val="zh-CN"/>
          <w14:textFill>
            <w14:solidFill>
              <w14:schemeClr w14:val="tx1"/>
            </w14:solidFill>
          </w14:textFill>
        </w:rPr>
        <w:t>报价函</w:t>
      </w:r>
      <w:r>
        <w:rPr>
          <w:rFonts w:hint="eastAsia" w:hAnsi="宋体" w:cs="仿宋_GB2312"/>
          <w:color w:val="000000" w:themeColor="text1"/>
          <w:sz w:val="24"/>
          <w:szCs w:val="24"/>
          <w:lang w:val="zh-CN"/>
          <w14:textFill>
            <w14:solidFill>
              <w14:schemeClr w14:val="tx1"/>
            </w14:solidFill>
          </w14:textFill>
        </w:rPr>
        <w:t>”</w:t>
      </w:r>
      <w:r>
        <w:rPr>
          <w:rFonts w:hAnsi="宋体" w:cs="仿宋_GB2312"/>
          <w:color w:val="000000" w:themeColor="text1"/>
          <w:sz w:val="24"/>
          <w:szCs w:val="24"/>
          <w:lang w:val="zh-CN"/>
          <w14:textFill>
            <w14:solidFill>
              <w14:schemeClr w14:val="tx1"/>
            </w14:solidFill>
          </w14:textFill>
        </w:rPr>
        <w:t>的，则无需提交本表。</w:t>
      </w:r>
    </w:p>
    <w:p w14:paraId="2A89C023">
      <w:pPr>
        <w:pStyle w:val="7"/>
        <w:widowControl/>
        <w:numPr>
          <w:ilvl w:val="0"/>
          <w:numId w:val="4"/>
        </w:numPr>
        <w:tabs>
          <w:tab w:val="left" w:pos="360"/>
          <w:tab w:val="clear" w:pos="1264"/>
        </w:tabs>
        <w:spacing w:line="460" w:lineRule="exact"/>
        <w:ind w:left="360" w:hanging="360"/>
        <w:rPr>
          <w:rFonts w:hAnsi="宋体" w:cs="仿宋_GB2312"/>
          <w:color w:val="000000" w:themeColor="text1"/>
          <w:sz w:val="24"/>
          <w:szCs w:val="24"/>
          <w:lang w:val="zh-CN"/>
          <w14:textFill>
            <w14:solidFill>
              <w14:schemeClr w14:val="tx1"/>
            </w14:solidFill>
          </w14:textFill>
        </w:rPr>
      </w:pPr>
      <w:r>
        <w:rPr>
          <w:rFonts w:hint="eastAsia" w:hAnsi="宋体" w:cs="仿宋_GB2312"/>
          <w:color w:val="000000" w:themeColor="text1"/>
          <w:sz w:val="24"/>
          <w:szCs w:val="24"/>
          <w:lang w:val="zh-CN"/>
          <w14:textFill>
            <w14:solidFill>
              <w14:schemeClr w14:val="tx1"/>
            </w14:solidFill>
          </w14:textFill>
        </w:rPr>
        <w:t>“</w:t>
      </w:r>
      <w:r>
        <w:rPr>
          <w:rFonts w:hAnsi="宋体" w:cs="仿宋_GB2312"/>
          <w:color w:val="000000" w:themeColor="text1"/>
          <w:sz w:val="24"/>
          <w:szCs w:val="24"/>
          <w:lang w:val="zh-CN"/>
          <w14:textFill>
            <w14:solidFill>
              <w14:schemeClr w14:val="tx1"/>
            </w14:solidFill>
          </w14:textFill>
        </w:rPr>
        <w:t>报价函</w:t>
      </w:r>
      <w:r>
        <w:rPr>
          <w:rFonts w:hint="eastAsia" w:hAnsi="宋体" w:cs="仿宋_GB2312"/>
          <w:color w:val="000000" w:themeColor="text1"/>
          <w:sz w:val="24"/>
          <w:szCs w:val="24"/>
          <w:lang w:val="zh-CN"/>
          <w14:textFill>
            <w14:solidFill>
              <w14:schemeClr w14:val="tx1"/>
            </w14:solidFill>
          </w14:textFill>
        </w:rPr>
        <w:t>”</w:t>
      </w:r>
      <w:r>
        <w:rPr>
          <w:rFonts w:hAnsi="宋体" w:cs="仿宋_GB2312"/>
          <w:color w:val="000000" w:themeColor="text1"/>
          <w:sz w:val="24"/>
          <w:szCs w:val="24"/>
          <w:lang w:val="zh-CN"/>
          <w14:textFill>
            <w14:solidFill>
              <w14:schemeClr w14:val="tx1"/>
            </w14:solidFill>
          </w14:textFill>
        </w:rPr>
        <w:t>由委托代理人签署的，</w:t>
      </w:r>
      <w:r>
        <w:rPr>
          <w:rFonts w:hint="eastAsia" w:hAnsi="宋体" w:cs="仿宋_GB2312"/>
          <w:color w:val="000000" w:themeColor="text1"/>
          <w:sz w:val="24"/>
          <w:lang w:val="zh-CN"/>
          <w14:textFill>
            <w14:solidFill>
              <w14:schemeClr w14:val="tx1"/>
            </w14:solidFill>
          </w14:textFill>
        </w:rPr>
        <w:t>须提交本授权委托证明书（要有单位公章、法定代表人的亲笔签字或盖章，缺一不可）</w:t>
      </w:r>
      <w:r>
        <w:rPr>
          <w:rFonts w:hAnsi="宋体" w:cs="仿宋_GB2312"/>
          <w:color w:val="000000" w:themeColor="text1"/>
          <w:sz w:val="24"/>
          <w:szCs w:val="24"/>
          <w:lang w:val="zh-CN"/>
          <w14:textFill>
            <w14:solidFill>
              <w14:schemeClr w14:val="tx1"/>
            </w14:solidFill>
          </w14:textFill>
        </w:rPr>
        <w:t>。</w:t>
      </w:r>
    </w:p>
    <w:p w14:paraId="273B0F23">
      <w:pPr>
        <w:pStyle w:val="7"/>
        <w:widowControl/>
        <w:numPr>
          <w:ilvl w:val="0"/>
          <w:numId w:val="4"/>
        </w:numPr>
        <w:tabs>
          <w:tab w:val="left" w:pos="142"/>
          <w:tab w:val="clear" w:pos="1264"/>
        </w:tabs>
        <w:spacing w:line="420" w:lineRule="exact"/>
        <w:ind w:left="-4" w:leftChars="-2" w:right="84" w:rightChars="40" w:firstLine="2"/>
        <w:rPr>
          <w:rFonts w:hAnsi="宋体" w:cs="Arial"/>
          <w:bCs/>
          <w:color w:val="000000" w:themeColor="text1"/>
          <w:sz w:val="24"/>
          <w:szCs w:val="24"/>
          <w14:textFill>
            <w14:solidFill>
              <w14:schemeClr w14:val="tx1"/>
            </w14:solidFill>
          </w14:textFill>
        </w:rPr>
      </w:pPr>
      <w:r>
        <w:rPr>
          <w:rFonts w:hAnsi="宋体" w:cs="仿宋_GB2312"/>
          <w:color w:val="000000" w:themeColor="text1"/>
          <w:sz w:val="24"/>
          <w:szCs w:val="24"/>
          <w:lang w:val="zh-CN"/>
          <w14:textFill>
            <w14:solidFill>
              <w14:schemeClr w14:val="tx1"/>
            </w14:solidFill>
          </w14:textFill>
        </w:rPr>
        <w:t>非法人报价的，负责人指《营业执照》上载明的负责人</w:t>
      </w:r>
      <w:r>
        <w:rPr>
          <w:rFonts w:hint="eastAsia" w:hAnsi="宋体" w:cs="仿宋_GB2312"/>
          <w:color w:val="000000" w:themeColor="text1"/>
          <w:sz w:val="24"/>
          <w:szCs w:val="24"/>
          <w:lang w:val="zh-CN"/>
          <w14:textFill>
            <w14:solidFill>
              <w14:schemeClr w14:val="tx1"/>
            </w14:solidFill>
          </w14:textFill>
        </w:rPr>
        <w:t>。</w:t>
      </w:r>
    </w:p>
    <w:p w14:paraId="259D2B14">
      <w:pPr>
        <w:rPr>
          <w:color w:val="000000" w:themeColor="text1"/>
          <w14:textFill>
            <w14:solidFill>
              <w14:schemeClr w14:val="tx1"/>
            </w14:solidFill>
          </w14:textFill>
        </w:rPr>
      </w:pPr>
      <w:r>
        <w:rPr>
          <w:rFonts w:hAnsi="宋体" w:cs="Arial"/>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140970</wp:posOffset>
                </wp:positionV>
                <wp:extent cx="5240655" cy="2988945"/>
                <wp:effectExtent l="0" t="0" r="17145" b="21590"/>
                <wp:wrapNone/>
                <wp:docPr id="7" name="流程图: 可选过程 7"/>
                <wp:cNvGraphicFramePr/>
                <a:graphic xmlns:a="http://schemas.openxmlformats.org/drawingml/2006/main">
                  <a:graphicData uri="http://schemas.microsoft.com/office/word/2010/wordprocessingShape">
                    <wps:wsp>
                      <wps:cNvSpPr/>
                      <wps:spPr>
                        <a:xfrm>
                          <a:off x="0" y="0"/>
                          <a:ext cx="5240740" cy="2988859"/>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3071B995">
                            <w:pPr>
                              <w:rPr>
                                <w:b/>
                                <w:sz w:val="22"/>
                              </w:rPr>
                            </w:pPr>
                            <w:r>
                              <w:rPr>
                                <w:rFonts w:hint="eastAsia"/>
                                <w:b/>
                                <w:sz w:val="22"/>
                              </w:rPr>
                              <w:t>提示：请将授权代表身份证复印件（正反面）粘贴在此处，并加盖公章。</w:t>
                            </w:r>
                          </w:p>
                          <w:p w14:paraId="131F6656">
                            <w:pPr>
                              <w:rPr>
                                <w:b/>
                                <w:sz w:val="22"/>
                              </w:rPr>
                            </w:pPr>
                          </w:p>
                        </w:txbxContent>
                      </wps:txbx>
                      <wps:bodyPr wrap="square" upright="1">
                        <a:noAutofit/>
                      </wps:bodyPr>
                    </wps:wsp>
                  </a:graphicData>
                </a:graphic>
              </wp:anchor>
            </w:drawing>
          </mc:Choice>
          <mc:Fallback>
            <w:pict>
              <v:shape id="_x0000_s1026" o:spid="_x0000_s1026" o:spt="176" type="#_x0000_t176" style="position:absolute;left:0pt;margin-top:11.1pt;height:235.35pt;width:412.65pt;mso-position-horizontal:right;mso-position-horizontal-relative:margin;z-index:251661312;mso-width-relative:page;mso-height-relative:page;" fillcolor="#FFFFFF" filled="t" stroked="t" coordsize="21600,21600" o:gfxdata="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imFb2QAAAAcBAAAPAAAAAAAAAAEAIAAAACIAAABk&#10;cnMvZG93bnJldi54bWxQSwECFAAUAAAACACHTuJAGaYNVj4CAAB3BAAADgAAAAAAAAABACAAAAAo&#10;AQAAZHJzL2Uyb0RvYy54bWxQSwUGAAAAAAYABgBZAQAA2AUAAAAA&#10;">
                <v:fill on="t" focussize="0,0"/>
                <v:stroke color="#000000" joinstyle="miter" dashstyle="dash"/>
                <v:imagedata o:title=""/>
                <o:lock v:ext="edit" aspectratio="f"/>
                <v:textbox>
                  <w:txbxContent>
                    <w:p w14:paraId="3071B995">
                      <w:pPr>
                        <w:rPr>
                          <w:b/>
                          <w:sz w:val="22"/>
                        </w:rPr>
                      </w:pPr>
                      <w:r>
                        <w:rPr>
                          <w:rFonts w:hint="eastAsia"/>
                          <w:b/>
                          <w:sz w:val="22"/>
                        </w:rPr>
                        <w:t>提示：请将授权代表身份证复印件（正反面）粘贴在此处，并加盖公章。</w:t>
                      </w:r>
                    </w:p>
                    <w:p w14:paraId="131F6656">
                      <w:pPr>
                        <w:rPr>
                          <w:b/>
                          <w:sz w:val="22"/>
                        </w:rPr>
                      </w:pPr>
                    </w:p>
                  </w:txbxContent>
                </v:textbox>
              </v:shape>
            </w:pict>
          </mc:Fallback>
        </mc:AlternateContent>
      </w:r>
    </w:p>
    <w:p w14:paraId="61F6A47D">
      <w:pPr>
        <w:rPr>
          <w:color w:val="000000" w:themeColor="text1"/>
          <w14:textFill>
            <w14:solidFill>
              <w14:schemeClr w14:val="tx1"/>
            </w14:solidFill>
          </w14:textFill>
        </w:rPr>
      </w:pPr>
    </w:p>
    <w:p w14:paraId="32EC733F">
      <w:pPr>
        <w:rPr>
          <w:color w:val="000000" w:themeColor="text1"/>
          <w14:textFill>
            <w14:solidFill>
              <w14:schemeClr w14:val="tx1"/>
            </w14:solidFill>
          </w14:textFill>
        </w:rPr>
      </w:pPr>
    </w:p>
    <w:p w14:paraId="61582237">
      <w:pPr>
        <w:rPr>
          <w:color w:val="000000" w:themeColor="text1"/>
          <w14:textFill>
            <w14:solidFill>
              <w14:schemeClr w14:val="tx1"/>
            </w14:solidFill>
          </w14:textFill>
        </w:rPr>
      </w:pPr>
    </w:p>
    <w:p w14:paraId="14921BA6">
      <w:pPr>
        <w:rPr>
          <w:color w:val="000000" w:themeColor="text1"/>
          <w14:textFill>
            <w14:solidFill>
              <w14:schemeClr w14:val="tx1"/>
            </w14:solidFill>
          </w14:textFill>
        </w:rPr>
      </w:pPr>
    </w:p>
    <w:p w14:paraId="35C2DAF6">
      <w:pPr>
        <w:rPr>
          <w:color w:val="000000" w:themeColor="text1"/>
          <w14:textFill>
            <w14:solidFill>
              <w14:schemeClr w14:val="tx1"/>
            </w14:solidFill>
          </w14:textFill>
        </w:rPr>
      </w:pPr>
    </w:p>
    <w:p w14:paraId="64A64729">
      <w:pPr>
        <w:rPr>
          <w:color w:val="000000" w:themeColor="text1"/>
          <w14:textFill>
            <w14:solidFill>
              <w14:schemeClr w14:val="tx1"/>
            </w14:solidFill>
          </w14:textFill>
        </w:rPr>
      </w:pPr>
    </w:p>
    <w:p w14:paraId="2EB466F0">
      <w:pPr>
        <w:rPr>
          <w:color w:val="000000" w:themeColor="text1"/>
          <w14:textFill>
            <w14:solidFill>
              <w14:schemeClr w14:val="tx1"/>
            </w14:solidFill>
          </w14:textFill>
        </w:rPr>
      </w:pPr>
    </w:p>
    <w:p w14:paraId="48D43160">
      <w:pPr>
        <w:pStyle w:val="7"/>
        <w:pageBreakBefore/>
        <w:ind w:firstLine="562" w:firstLineChars="200"/>
        <w:jc w:val="center"/>
        <w:rPr>
          <w:rFonts w:hAnsi="宋体"/>
          <w:b/>
          <w:color w:val="000000" w:themeColor="text1"/>
          <w:sz w:val="28"/>
          <w:szCs w:val="28"/>
          <w:lang w:val="en-GB"/>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格式6 </w:t>
      </w:r>
      <w:r>
        <w:rPr>
          <w:rFonts w:hint="eastAsia" w:hAnsi="宋体"/>
          <w:b/>
          <w:color w:val="000000" w:themeColor="text1"/>
          <w:sz w:val="28"/>
          <w:szCs w:val="28"/>
          <w:lang w:val="en-GB"/>
          <w14:textFill>
            <w14:solidFill>
              <w14:schemeClr w14:val="tx1"/>
            </w14:solidFill>
          </w14:textFill>
        </w:rPr>
        <w:t>供应商声明</w:t>
      </w:r>
    </w:p>
    <w:p w14:paraId="7EF2BDC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广州大学:</w:t>
      </w:r>
    </w:p>
    <w:p w14:paraId="54F9A5C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本公司就参加</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项目报价</w:t>
      </w:r>
      <w:r>
        <w:rPr>
          <w:rFonts w:hint="eastAsia" w:ascii="宋体" w:hAnsi="宋体"/>
          <w:color w:val="000000" w:themeColor="text1"/>
          <w:sz w:val="24"/>
          <w14:textFill>
            <w14:solidFill>
              <w14:schemeClr w14:val="tx1"/>
            </w14:solidFill>
          </w14:textFill>
        </w:rPr>
        <w:t>工作，作出郑重声明:</w:t>
      </w:r>
    </w:p>
    <w:p w14:paraId="7DD5783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一、本公司保证所有报价材料及其后提供的一切材料都是真实的。如我司成为本项目成交候选人，我司同意并授权采购人将我司报价文件商务部分的人员、业绩、奖项等资料进行公开。</w:t>
      </w:r>
    </w:p>
    <w:p w14:paraId="6393EC5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二、本公司保证在本项目报价中不与其他单位围标、串标，不出让报价资格，不向采购人或评标委员会成员行贿。</w:t>
      </w:r>
    </w:p>
    <w:p w14:paraId="2EF61BC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公司没有处于被责令停业的状态;没有处于被建设行政主管部门取消投标资格的处罚期内；没有处于财产被接管、冻结、破产的状态；本公司没有在报价截止时间前三年内被人民法院判决犯有行贿罪的记录。报价截止日期前三年内，本公司没有弄虚作假骗取中标、围标串标行为(以行政主管部门或法院或检察院书面认定为准)，本公司没有被人民法院列入失信被执行人名单。在报价截止日期前三年内没有建设行政主管部门已书面认定的重大工程质量问题。本公司未在以往工程中因不诚信行为或不充分履约行为被本项目采购人书面拒绝投标；本公司未被纳入联合惩戒范围。</w:t>
      </w:r>
    </w:p>
    <w:p w14:paraId="2011760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四、本公司自20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年1月1日至今未因以往检测工作中存在伪造检测数据、出具虚假检测报告的行为被各级建设行政主管部门或市场监督管理部门行政处罚或通报。</w:t>
      </w:r>
    </w:p>
    <w:p w14:paraId="38362CD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本公司及其有隶属关系的机构没有参加本项目的设计、前期工作、招标文件编写、监理工作；本公司与承担本项目施工和监理业务的单位没有隶属关系或其他利害关系；本公司与采购人没有隶属关系或其他利害关系；本公司与本工程的承包单位以及建筑材料、建筑构配件和设备供应单位没有隶属关系或其他利害关系。</w:t>
      </w:r>
    </w:p>
    <w:p w14:paraId="3A2E338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六、与本公司单位负责人为同一人或者与本公司存在控股、管理关系的其他单位包括</w:t>
      </w:r>
      <w:r>
        <w:rPr>
          <w:rFonts w:hint="eastAsia" w:asci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(注:本条由供应商如实填写，如有，应列出全部满足询价公告资质要求的相关单位的名称;如无，则填写“无”。)</w:t>
      </w:r>
    </w:p>
    <w:p w14:paraId="379641C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七、本公司承诺，中标后严格执行安全生产相关管理规定。</w:t>
      </w:r>
    </w:p>
    <w:p w14:paraId="116B198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本公司承诺，中标后严格按照合同和询价、报价文件规定履行义务，并同意采购人将其履行合同、询价、报价文件义务的履约情况和不诚信行为(包括但不限于由采购人做出的违约责任处理决定等)在采购人网站和建设主管部门网站及其他媒体上公开披露，由此造成的一切损失和不利后果均由本公司自行承担。</w:t>
      </w:r>
      <w:bookmarkStart w:id="5" w:name="_GoBack"/>
      <w:bookmarkEnd w:id="5"/>
    </w:p>
    <w:p w14:paraId="693B643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本公司违反上述承诺，或本声明陈述与事实不符，经查实，本公司愿意接受公开通报，承担由此带来的法律后果。</w:t>
      </w:r>
    </w:p>
    <w:p w14:paraId="40D2CD8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14:paraId="6BC4A2DA">
      <w:pPr>
        <w:spacing w:line="360" w:lineRule="auto"/>
        <w:rPr>
          <w:rFonts w:ascii="宋体" w:hAnsi="宋体"/>
          <w:color w:val="000000" w:themeColor="text1"/>
          <w:sz w:val="24"/>
          <w14:textFill>
            <w14:solidFill>
              <w14:schemeClr w14:val="tx1"/>
            </w14:solidFill>
          </w14:textFill>
        </w:rPr>
      </w:pPr>
    </w:p>
    <w:p w14:paraId="0323D77D">
      <w:pPr>
        <w:spacing w:line="360" w:lineRule="auto"/>
        <w:ind w:right="96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供应商(公章):</w:t>
      </w:r>
    </w:p>
    <w:p w14:paraId="7FC7F612">
      <w:pPr>
        <w:spacing w:line="360" w:lineRule="auto"/>
        <w:ind w:right="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法定代表人或授权委托人(签字或盖章):</w:t>
      </w:r>
    </w:p>
    <w:p w14:paraId="228891CD">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353B6815">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0F0A799F">
      <w:pPr>
        <w:spacing w:line="588" w:lineRule="exact"/>
        <w:jc w:val="center"/>
        <w:rPr>
          <w:rFonts w:hAnsi="宋体" w:cs="Courier New"/>
          <w:b/>
          <w:kern w:val="0"/>
          <w:sz w:val="28"/>
          <w:szCs w:val="28"/>
        </w:rPr>
      </w:pPr>
      <w:bookmarkStart w:id="0" w:name="_Toc31088"/>
      <w:r>
        <w:rPr>
          <w:rFonts w:hint="eastAsia" w:hAnsi="宋体" w:cs="Courier New"/>
          <w:b/>
          <w:kern w:val="0"/>
          <w:sz w:val="28"/>
          <w:szCs w:val="28"/>
        </w:rPr>
        <w:t>格式</w:t>
      </w:r>
      <w:r>
        <w:rPr>
          <w:rFonts w:hint="eastAsia" w:hAnsi="宋体" w:cs="Courier New"/>
          <w:b/>
          <w:kern w:val="0"/>
          <w:sz w:val="28"/>
          <w:szCs w:val="28"/>
          <w:lang w:val="en-US" w:eastAsia="zh-CN"/>
        </w:rPr>
        <w:t>7</w:t>
      </w:r>
      <w:r>
        <w:rPr>
          <w:rFonts w:hint="eastAsia" w:hAnsi="宋体" w:cs="Courier New"/>
          <w:b/>
          <w:kern w:val="0"/>
          <w:sz w:val="28"/>
          <w:szCs w:val="28"/>
        </w:rPr>
        <w:t xml:space="preserve">   </w:t>
      </w:r>
      <w:r>
        <w:rPr>
          <w:rFonts w:hAnsi="宋体" w:cs="Courier New"/>
          <w:b/>
          <w:kern w:val="0"/>
          <w:sz w:val="28"/>
          <w:szCs w:val="28"/>
        </w:rPr>
        <w:t>中小企业声明函</w:t>
      </w:r>
      <w:bookmarkEnd w:id="0"/>
    </w:p>
    <w:p w14:paraId="1E562239">
      <w:pPr>
        <w:spacing w:line="588" w:lineRule="exact"/>
        <w:jc w:val="center"/>
        <w:rPr>
          <w:rFonts w:hint="default" w:hAnsi="宋体" w:cs="Courier New"/>
          <w:b/>
          <w:kern w:val="0"/>
          <w:sz w:val="28"/>
          <w:szCs w:val="28"/>
          <w:lang w:val="en-US" w:eastAsia="zh-CN"/>
        </w:rPr>
      </w:pPr>
    </w:p>
    <w:p w14:paraId="41CB23E9">
      <w:pPr>
        <w:spacing w:line="360" w:lineRule="auto"/>
        <w:ind w:right="84" w:rightChars="40" w:firstLine="480" w:firstLineChars="200"/>
        <w:rPr>
          <w:rFonts w:ascii="宋体" w:hAnsi="宋体" w:cs="Arial"/>
          <w:bCs/>
          <w:sz w:val="24"/>
        </w:rPr>
      </w:pPr>
      <w:r>
        <w:rPr>
          <w:rFonts w:hint="eastAsia" w:ascii="宋体" w:hAnsi="宋体" w:cs="Arial"/>
          <w:bCs/>
          <w:sz w:val="24"/>
        </w:rPr>
        <w:t>本公司（联合体）郑重声明，根据《政府采购促进中小企业发展管理办法》（财库﹝2020﹞46 号）的规定，本公司 （联合体）参加广州大学的</w:t>
      </w:r>
      <w:r>
        <w:rPr>
          <w:rFonts w:hint="eastAsia" w:ascii="宋体" w:hAnsi="宋体" w:cs="Arial"/>
          <w:bCs/>
          <w:sz w:val="24"/>
          <w:u w:val="single"/>
        </w:rPr>
        <w:t>（      项目名称        ）</w:t>
      </w:r>
      <w:r>
        <w:rPr>
          <w:rFonts w:hint="eastAsia" w:ascii="宋体" w:hAnsi="宋体" w:cs="Arial"/>
          <w:bCs/>
          <w:sz w:val="24"/>
        </w:rPr>
        <w:t>采购活动，工程的</w:t>
      </w:r>
      <w:r>
        <w:rPr>
          <w:rFonts w:hint="eastAsia" w:ascii="宋体" w:hAnsi="宋体" w:cs="Arial"/>
          <w:bCs/>
          <w:sz w:val="24"/>
          <w:lang w:val="en-US" w:eastAsia="zh-CN"/>
        </w:rPr>
        <w:t>监理</w:t>
      </w:r>
      <w:r>
        <w:rPr>
          <w:rFonts w:hint="eastAsia" w:ascii="宋体" w:hAnsi="宋体" w:cs="Arial"/>
          <w:bCs/>
          <w:sz w:val="24"/>
        </w:rPr>
        <w:t>单位全部为符合政策要求的中小企业。相关企业（含联合体中的中小企业、签订分包意向协议的中小企业）的具体情况如下：</w:t>
      </w:r>
    </w:p>
    <w:p w14:paraId="72CEA9F9">
      <w:pPr>
        <w:spacing w:line="360" w:lineRule="auto"/>
        <w:ind w:right="84" w:rightChars="40" w:firstLine="480" w:firstLineChars="200"/>
        <w:rPr>
          <w:rFonts w:ascii="宋体" w:hAnsi="宋体" w:cs="Arial"/>
          <w:bCs/>
          <w:sz w:val="24"/>
        </w:rPr>
      </w:pPr>
      <w:r>
        <w:rPr>
          <w:rFonts w:hint="eastAsia" w:ascii="宋体" w:hAnsi="宋体" w:cs="Arial"/>
          <w:bCs/>
          <w:sz w:val="24"/>
          <w:u w:val="single"/>
        </w:rPr>
        <w:t>（      项目名称       ）</w:t>
      </w:r>
      <w:r>
        <w:rPr>
          <w:rFonts w:hint="eastAsia" w:ascii="宋体" w:hAnsi="宋体" w:cs="Arial"/>
          <w:bCs/>
          <w:sz w:val="24"/>
        </w:rPr>
        <w:t xml:space="preserve"> ，属于</w:t>
      </w:r>
      <w:r>
        <w:rPr>
          <w:rFonts w:hint="eastAsia" w:ascii="宋体" w:hAnsi="宋体" w:cs="Arial"/>
          <w:bCs/>
          <w:sz w:val="24"/>
          <w:u w:val="single"/>
          <w:lang w:val="en-US" w:eastAsia="zh-CN"/>
        </w:rPr>
        <w:t xml:space="preserve">    业</w:t>
      </w:r>
      <w:r>
        <w:rPr>
          <w:rFonts w:hint="eastAsia" w:ascii="宋体" w:hAnsi="宋体" w:cs="Arial"/>
          <w:bCs/>
          <w:sz w:val="24"/>
        </w:rPr>
        <w:t>； 承建（承接）企业为</w:t>
      </w:r>
      <w:r>
        <w:rPr>
          <w:rFonts w:hint="eastAsia" w:ascii="宋体" w:hAnsi="宋体" w:cs="Arial"/>
          <w:bCs/>
          <w:sz w:val="24"/>
          <w:u w:val="single"/>
        </w:rPr>
        <w:t>（                 ）</w:t>
      </w:r>
      <w:r>
        <w:rPr>
          <w:rFonts w:hint="eastAsia" w:ascii="宋体" w:hAnsi="宋体" w:cs="Arial"/>
          <w:bCs/>
          <w:sz w:val="24"/>
        </w:rPr>
        <w:t>，从业人员</w:t>
      </w:r>
      <w:r>
        <w:rPr>
          <w:rFonts w:hint="eastAsia" w:ascii="宋体" w:hAnsi="宋体" w:cs="Arial"/>
          <w:bCs/>
          <w:sz w:val="24"/>
          <w:u w:val="single"/>
        </w:rPr>
        <w:t xml:space="preserve">    </w:t>
      </w:r>
      <w:r>
        <w:rPr>
          <w:rFonts w:hint="eastAsia" w:ascii="宋体" w:hAnsi="宋体" w:cs="Arial"/>
          <w:bCs/>
          <w:sz w:val="24"/>
        </w:rPr>
        <w:t>人，营业收入为</w:t>
      </w:r>
      <w:r>
        <w:rPr>
          <w:rFonts w:hint="eastAsia" w:ascii="宋体" w:hAnsi="宋体" w:cs="Arial"/>
          <w:bCs/>
          <w:sz w:val="24"/>
          <w:u w:val="single"/>
        </w:rPr>
        <w:t xml:space="preserve">          </w:t>
      </w:r>
      <w:r>
        <w:rPr>
          <w:rFonts w:hint="eastAsia" w:ascii="宋体" w:hAnsi="宋体" w:cs="Arial"/>
          <w:bCs/>
          <w:sz w:val="24"/>
        </w:rPr>
        <w:t>万元，资产总额为</w:t>
      </w:r>
      <w:r>
        <w:rPr>
          <w:rFonts w:hint="eastAsia" w:ascii="宋体" w:hAnsi="宋体" w:cs="Arial"/>
          <w:bCs/>
          <w:sz w:val="24"/>
          <w:u w:val="single"/>
        </w:rPr>
        <w:t xml:space="preserve">           </w:t>
      </w:r>
      <w:r>
        <w:rPr>
          <w:rFonts w:hint="eastAsia" w:ascii="宋体" w:hAnsi="宋体" w:cs="Arial"/>
          <w:bCs/>
          <w:sz w:val="24"/>
        </w:rPr>
        <w:t>万元，属于</w:t>
      </w:r>
      <w:r>
        <w:rPr>
          <w:rFonts w:hint="eastAsia" w:ascii="宋体" w:hAnsi="宋体" w:cs="Arial"/>
          <w:bCs/>
          <w:sz w:val="24"/>
          <w:u w:val="single"/>
        </w:rPr>
        <w:t xml:space="preserve">       企业（中型企业、 小型企业、微型企业）</w:t>
      </w:r>
      <w:r>
        <w:rPr>
          <w:rFonts w:hint="eastAsia" w:ascii="宋体" w:hAnsi="宋体" w:cs="Arial"/>
          <w:bCs/>
          <w:sz w:val="24"/>
        </w:rPr>
        <w:t>；</w:t>
      </w:r>
    </w:p>
    <w:p w14:paraId="2BB3D9C9">
      <w:pPr>
        <w:ind w:right="84" w:rightChars="40"/>
        <w:rPr>
          <w:rFonts w:ascii="宋体" w:hAnsi="宋体" w:cs="Arial"/>
          <w:bCs/>
          <w:sz w:val="24"/>
        </w:rPr>
      </w:pPr>
      <w:r>
        <w:rPr>
          <w:rFonts w:hint="eastAsia" w:ascii="宋体" w:hAnsi="宋体" w:cs="Arial"/>
          <w:bCs/>
          <w:sz w:val="24"/>
        </w:rPr>
        <w:t xml:space="preserve">    以上企业，不属于大企业的分支机构，不存在控股股东为大企业的情形，也不存在与大企业的负责人为同一人的情形。</w:t>
      </w:r>
    </w:p>
    <w:p w14:paraId="1BA81456">
      <w:pPr>
        <w:spacing w:line="360" w:lineRule="auto"/>
        <w:ind w:right="84" w:rightChars="40" w:firstLine="480" w:firstLineChars="200"/>
        <w:rPr>
          <w:rFonts w:ascii="宋体" w:hAnsi="宋体" w:cs="Arial"/>
          <w:bCs/>
          <w:sz w:val="24"/>
        </w:rPr>
      </w:pPr>
      <w:r>
        <w:rPr>
          <w:rFonts w:hint="eastAsia" w:ascii="宋体" w:hAnsi="宋体" w:cs="Arial"/>
          <w:bCs/>
          <w:sz w:val="24"/>
        </w:rPr>
        <w:t>本企业对上述声明内容的真实性负责。如有虚假，将依法承担相应责任。</w:t>
      </w:r>
    </w:p>
    <w:p w14:paraId="0ED7EA43">
      <w:pPr>
        <w:spacing w:line="360" w:lineRule="auto"/>
        <w:ind w:right="84" w:rightChars="40"/>
        <w:rPr>
          <w:rFonts w:ascii="宋体" w:hAnsi="宋体" w:cs="Arial"/>
          <w:bCs/>
          <w:sz w:val="24"/>
        </w:rPr>
      </w:pPr>
      <w:r>
        <w:rPr>
          <w:rFonts w:hint="eastAsia" w:ascii="宋体" w:hAnsi="宋体" w:cs="Arial"/>
          <w:bCs/>
          <w:sz w:val="24"/>
        </w:rPr>
        <w:t xml:space="preserve">                                    </w:t>
      </w:r>
    </w:p>
    <w:p w14:paraId="2F4A77C1">
      <w:pPr>
        <w:spacing w:line="360" w:lineRule="auto"/>
        <w:ind w:right="84" w:rightChars="40"/>
        <w:rPr>
          <w:rFonts w:ascii="宋体" w:hAnsi="宋体" w:cs="Arial"/>
          <w:bCs/>
          <w:sz w:val="24"/>
        </w:rPr>
      </w:pPr>
    </w:p>
    <w:p w14:paraId="6156A7DB">
      <w:pPr>
        <w:spacing w:line="360" w:lineRule="auto"/>
        <w:ind w:right="84" w:rightChars="40" w:firstLine="4320" w:firstLineChars="1800"/>
        <w:rPr>
          <w:rFonts w:ascii="宋体" w:hAnsi="宋体" w:cs="Arial"/>
          <w:bCs/>
          <w:sz w:val="24"/>
        </w:rPr>
      </w:pPr>
      <w:r>
        <w:rPr>
          <w:rFonts w:hint="eastAsia" w:ascii="宋体" w:hAnsi="宋体" w:cs="Arial"/>
          <w:bCs/>
          <w:sz w:val="24"/>
        </w:rPr>
        <w:t>企业名称（签章）：</w:t>
      </w:r>
    </w:p>
    <w:p w14:paraId="133D01B5">
      <w:pPr>
        <w:spacing w:line="360" w:lineRule="auto"/>
        <w:ind w:right="84" w:rightChars="40" w:firstLine="4320" w:firstLineChars="1800"/>
        <w:rPr>
          <w:rFonts w:ascii="宋体" w:hAnsi="宋体" w:cs="Arial"/>
          <w:bCs/>
          <w:sz w:val="24"/>
        </w:rPr>
      </w:pPr>
      <w:r>
        <w:rPr>
          <w:rFonts w:hint="eastAsia" w:ascii="宋体" w:hAnsi="宋体" w:cs="Arial"/>
          <w:bCs/>
          <w:sz w:val="24"/>
        </w:rPr>
        <w:t>日期：</w:t>
      </w:r>
    </w:p>
    <w:p w14:paraId="2BEA893B">
      <w:r>
        <w:rPr>
          <w:rFonts w:hint="eastAsia" w:ascii="宋体" w:hAnsi="宋体" w:cs="宋体"/>
          <w:szCs w:val="22"/>
        </w:rPr>
        <w:t>注：从业人员、营业收入、资产总额填报上一年度数据，无上一年度数据的新成立企业可不填报。</w:t>
      </w:r>
    </w:p>
    <w:p w14:paraId="56BAE76D">
      <w:pPr>
        <w:rPr>
          <w:rFonts w:hint="eastAsia" w:hAnsi="宋体" w:cs="仿宋_GB2312"/>
          <w:sz w:val="24"/>
          <w:lang w:val="zh-CN"/>
        </w:rPr>
      </w:pPr>
    </w:p>
    <w:p w14:paraId="53EAA02A">
      <w:r>
        <w:rPr>
          <w:rFonts w:hint="eastAsia" w:ascii="宋体" w:hAnsi="宋体" w:cs="宋体"/>
          <w:color w:val="000000"/>
          <w:sz w:val="24"/>
        </w:rPr>
        <w:br w:type="page"/>
      </w:r>
    </w:p>
    <w:p w14:paraId="3360BEB7">
      <w:pPr>
        <w:pStyle w:val="13"/>
        <w:rPr>
          <w:rFonts w:hint="eastAsia" w:hAnsi="宋体" w:cs="Courier New" w:asciiTheme="minorHAnsi" w:eastAsiaTheme="minorEastAsia"/>
          <w:b/>
          <w:kern w:val="0"/>
          <w:sz w:val="28"/>
          <w:szCs w:val="28"/>
          <w:lang w:val="en-US" w:eastAsia="zh-CN" w:bidi="ar-SA"/>
        </w:rPr>
      </w:pPr>
      <w:r>
        <w:rPr>
          <w:rFonts w:hint="eastAsia" w:hAnsi="宋体" w:cs="Courier New" w:asciiTheme="minorHAnsi" w:eastAsiaTheme="minorEastAsia"/>
          <w:b/>
          <w:kern w:val="0"/>
          <w:sz w:val="28"/>
          <w:szCs w:val="28"/>
          <w:lang w:val="en-US" w:eastAsia="zh-CN" w:bidi="ar-SA"/>
        </w:rPr>
        <w:t>合同模板</w:t>
      </w:r>
      <w:r>
        <w:rPr>
          <w:rFonts w:hint="eastAsia" w:hAnsi="宋体" w:cs="Courier New" w:asciiTheme="minorHAnsi"/>
          <w:b/>
          <w:kern w:val="0"/>
          <w:sz w:val="28"/>
          <w:szCs w:val="28"/>
          <w:lang w:val="en-US" w:eastAsia="zh-CN" w:bidi="ar-SA"/>
        </w:rPr>
        <w:t>：</w:t>
      </w:r>
    </w:p>
    <w:p w14:paraId="7B57FA89">
      <w:pPr>
        <w:spacing w:line="560" w:lineRule="exact"/>
        <w:jc w:val="center"/>
        <w:rPr>
          <w:rFonts w:ascii="华文中宋" w:hAnsi="华文中宋" w:eastAsia="华文中宋" w:cs="华文中宋"/>
          <w:sz w:val="36"/>
          <w:szCs w:val="36"/>
        </w:rPr>
      </w:pPr>
    </w:p>
    <w:p w14:paraId="17590657">
      <w:pPr>
        <w:pStyle w:val="4"/>
        <w:jc w:val="center"/>
        <w:rPr>
          <w:rFonts w:ascii="华文中宋" w:hAnsi="华文中宋" w:eastAsia="华文中宋" w:cs="华文中宋"/>
          <w:kern w:val="2"/>
          <w:sz w:val="36"/>
          <w:szCs w:val="36"/>
        </w:rPr>
      </w:pPr>
      <w:r>
        <w:rPr>
          <w:rFonts w:hint="eastAsia" w:ascii="华文中宋" w:hAnsi="华文中宋" w:eastAsia="华文中宋" w:cs="华文中宋"/>
          <w:kern w:val="2"/>
          <w:sz w:val="36"/>
          <w:szCs w:val="36"/>
        </w:rPr>
        <w:t>广州大学202</w:t>
      </w:r>
      <w:r>
        <w:rPr>
          <w:rFonts w:hint="eastAsia" w:ascii="华文中宋" w:hAnsi="华文中宋" w:eastAsia="华文中宋" w:cs="华文中宋"/>
          <w:kern w:val="2"/>
          <w:sz w:val="36"/>
          <w:szCs w:val="36"/>
          <w:lang w:val="en-US" w:eastAsia="zh-CN"/>
        </w:rPr>
        <w:t>5</w:t>
      </w:r>
      <w:r>
        <w:rPr>
          <w:rFonts w:hint="eastAsia" w:ascii="华文中宋" w:hAnsi="华文中宋" w:eastAsia="华文中宋" w:cs="华文中宋"/>
          <w:kern w:val="2"/>
          <w:sz w:val="36"/>
          <w:szCs w:val="36"/>
        </w:rPr>
        <w:t>年大学城校区毕业生宿舍维修</w:t>
      </w:r>
    </w:p>
    <w:p w14:paraId="00523D7B">
      <w:pPr>
        <w:pStyle w:val="4"/>
        <w:jc w:val="center"/>
      </w:pPr>
      <w:r>
        <w:rPr>
          <w:rFonts w:hint="eastAsia" w:ascii="华文中宋" w:hAnsi="华文中宋" w:eastAsia="华文中宋" w:cs="华文中宋"/>
          <w:kern w:val="2"/>
          <w:sz w:val="36"/>
          <w:szCs w:val="36"/>
        </w:rPr>
        <w:t>翻新工程检测服务</w:t>
      </w:r>
    </w:p>
    <w:p w14:paraId="20C4BC72">
      <w:pPr>
        <w:pStyle w:val="4"/>
      </w:pPr>
    </w:p>
    <w:p w14:paraId="0D6D2D32">
      <w:pPr>
        <w:pStyle w:val="4"/>
      </w:pPr>
    </w:p>
    <w:p w14:paraId="2E164AB2">
      <w:pPr>
        <w:rPr>
          <w:rFonts w:eastAsia="黑体"/>
          <w:sz w:val="44"/>
        </w:rPr>
      </w:pPr>
    </w:p>
    <w:p w14:paraId="13B0A993">
      <w:pPr>
        <w:pStyle w:val="4"/>
        <w:ind w:firstLine="422"/>
        <w:rPr>
          <w:bCs/>
        </w:rPr>
      </w:pPr>
    </w:p>
    <w:p w14:paraId="1C386A76">
      <w:pPr>
        <w:pStyle w:val="4"/>
        <w:ind w:firstLine="723"/>
        <w:rPr>
          <w:bCs/>
          <w:sz w:val="36"/>
          <w:szCs w:val="36"/>
        </w:rPr>
      </w:pPr>
    </w:p>
    <w:p w14:paraId="3DB3B37D">
      <w:pPr>
        <w:jc w:val="center"/>
        <w:rPr>
          <w:rFonts w:eastAsia="黑体"/>
          <w:bCs/>
          <w:sz w:val="36"/>
          <w:szCs w:val="36"/>
        </w:rPr>
      </w:pPr>
    </w:p>
    <w:p w14:paraId="513C4E3A">
      <w:pPr>
        <w:ind w:firstLine="1920" w:firstLineChars="600"/>
        <w:rPr>
          <w:rFonts w:ascii="宋体" w:hAnsi="宋体"/>
          <w:bCs/>
          <w:sz w:val="32"/>
          <w:szCs w:val="32"/>
          <w14:shadow w14:blurRad="50800" w14:dist="38100" w14:dir="2700000" w14:sx="100000" w14:sy="100000" w14:kx="0" w14:ky="0" w14:algn="tl">
            <w14:srgbClr w14:val="000000">
              <w14:alpha w14:val="60000"/>
            </w14:srgbClr>
          </w14:shadow>
        </w:rPr>
      </w:pPr>
    </w:p>
    <w:p w14:paraId="0196F37F">
      <w:pPr>
        <w:ind w:firstLine="1920" w:firstLineChars="600"/>
        <w:rPr>
          <w:rFonts w:eastAsia="黑体"/>
          <w:sz w:val="36"/>
        </w:rPr>
      </w:pPr>
      <w:r>
        <w:rPr>
          <w:rFonts w:hint="eastAsia" w:ascii="宋体" w:hAnsi="宋体"/>
          <w:bCs/>
          <w:sz w:val="32"/>
          <w:szCs w:val="32"/>
        </w:rPr>
        <w:t>合同编号：</w:t>
      </w:r>
      <w:r>
        <w:rPr>
          <w:rFonts w:hint="eastAsia" w:ascii="宋体" w:hAnsi="宋体"/>
          <w:bCs/>
          <w:sz w:val="32"/>
          <w:u w:val="single"/>
        </w:rPr>
        <w:t xml:space="preserve">                </w:t>
      </w:r>
    </w:p>
    <w:p w14:paraId="52232BB3">
      <w:pPr>
        <w:jc w:val="center"/>
        <w:rPr>
          <w:rFonts w:eastAsia="黑体"/>
          <w:sz w:val="36"/>
        </w:rPr>
      </w:pPr>
    </w:p>
    <w:p w14:paraId="5B1F349F">
      <w:pPr>
        <w:pStyle w:val="22"/>
        <w:ind w:firstLine="0" w:firstLineChars="0"/>
        <w:jc w:val="center"/>
        <w:rPr>
          <w:rFonts w:ascii="宋体" w:hAnsi="宋体"/>
          <w:bCs/>
          <w:spacing w:val="0"/>
        </w:rPr>
      </w:pPr>
    </w:p>
    <w:p w14:paraId="68E65DB4">
      <w:pPr>
        <w:pStyle w:val="22"/>
        <w:ind w:firstLine="0" w:firstLineChars="0"/>
        <w:jc w:val="center"/>
        <w:rPr>
          <w:rFonts w:ascii="宋体" w:hAnsi="宋体"/>
          <w:bCs/>
          <w:spacing w:val="0"/>
        </w:rPr>
      </w:pPr>
    </w:p>
    <w:p w14:paraId="5089E18A">
      <w:pPr>
        <w:pStyle w:val="22"/>
        <w:ind w:firstLine="0" w:firstLineChars="0"/>
        <w:jc w:val="center"/>
        <w:rPr>
          <w:rFonts w:ascii="宋体" w:hAnsi="宋体"/>
          <w:bCs/>
          <w:spacing w:val="0"/>
        </w:rPr>
      </w:pPr>
    </w:p>
    <w:p w14:paraId="15512D31">
      <w:pPr>
        <w:pStyle w:val="22"/>
        <w:ind w:firstLine="0" w:firstLineChars="0"/>
        <w:jc w:val="center"/>
        <w:rPr>
          <w:rFonts w:ascii="宋体" w:hAnsi="宋体"/>
          <w:bCs/>
          <w:spacing w:val="0"/>
        </w:rPr>
      </w:pPr>
    </w:p>
    <w:p w14:paraId="6985893B">
      <w:pPr>
        <w:pStyle w:val="22"/>
        <w:ind w:firstLine="0" w:firstLineChars="0"/>
        <w:jc w:val="center"/>
        <w:rPr>
          <w:rFonts w:ascii="宋体" w:hAnsi="宋体"/>
          <w:bCs/>
          <w:spacing w:val="0"/>
        </w:rPr>
      </w:pPr>
    </w:p>
    <w:p w14:paraId="659AA93F">
      <w:pPr>
        <w:pStyle w:val="22"/>
        <w:ind w:firstLine="627" w:firstLineChars="196"/>
        <w:rPr>
          <w:rFonts w:ascii="宋体" w:hAnsi="宋体"/>
          <w:bCs/>
          <w:spacing w:val="0"/>
          <w:sz w:val="32"/>
          <w:szCs w:val="32"/>
        </w:rPr>
      </w:pPr>
      <w:r>
        <w:rPr>
          <w:rFonts w:hint="eastAsia" w:ascii="宋体" w:hAnsi="宋体"/>
          <w:bCs/>
          <w:spacing w:val="0"/>
          <w:sz w:val="32"/>
          <w:szCs w:val="32"/>
        </w:rPr>
        <w:t xml:space="preserve">委托单位（甲方）: </w:t>
      </w:r>
      <w:r>
        <w:rPr>
          <w:rFonts w:hint="eastAsia" w:ascii="宋体" w:hAnsi="宋体"/>
          <w:spacing w:val="0"/>
          <w:sz w:val="32"/>
          <w:szCs w:val="32"/>
          <w:u w:val="single"/>
        </w:rPr>
        <w:t xml:space="preserve">       广州大学    </w:t>
      </w:r>
      <w:r>
        <w:rPr>
          <w:rFonts w:hint="eastAsia" w:ascii="宋体" w:hAnsi="宋体"/>
          <w:spacing w:val="0"/>
          <w:sz w:val="32"/>
          <w:szCs w:val="32"/>
        </w:rPr>
        <w:t>（盖章）</w:t>
      </w:r>
    </w:p>
    <w:p w14:paraId="71587E9C">
      <w:pPr>
        <w:pStyle w:val="22"/>
        <w:ind w:firstLine="640"/>
        <w:rPr>
          <w:rFonts w:ascii="宋体" w:hAnsi="宋体"/>
          <w:bCs/>
          <w:spacing w:val="0"/>
          <w:sz w:val="32"/>
          <w:szCs w:val="32"/>
        </w:rPr>
      </w:pPr>
      <w:r>
        <w:rPr>
          <w:rFonts w:hint="eastAsia" w:ascii="宋体" w:hAnsi="宋体"/>
          <w:bCs/>
          <w:spacing w:val="0"/>
          <w:sz w:val="32"/>
          <w:szCs w:val="32"/>
        </w:rPr>
        <w:t xml:space="preserve">受托单位（乙方）: </w:t>
      </w:r>
      <w:r>
        <w:rPr>
          <w:rFonts w:hint="eastAsia" w:ascii="宋体" w:hAnsi="宋体"/>
          <w:spacing w:val="0"/>
          <w:sz w:val="32"/>
          <w:szCs w:val="32"/>
          <w:u w:val="single"/>
        </w:rPr>
        <w:t xml:space="preserve">                   </w:t>
      </w:r>
      <w:r>
        <w:rPr>
          <w:rFonts w:hint="eastAsia" w:ascii="宋体" w:hAnsi="宋体"/>
          <w:spacing w:val="0"/>
          <w:sz w:val="32"/>
          <w:szCs w:val="32"/>
        </w:rPr>
        <w:t>（盖章）</w:t>
      </w:r>
    </w:p>
    <w:p w14:paraId="144602D1">
      <w:pPr>
        <w:pStyle w:val="22"/>
        <w:ind w:firstLine="0" w:firstLineChars="0"/>
        <w:rPr>
          <w:rFonts w:ascii="宋体" w:hAnsi="宋体"/>
          <w:bCs/>
          <w:spacing w:val="0"/>
        </w:rPr>
      </w:pPr>
    </w:p>
    <w:p w14:paraId="2DBC0996">
      <w:pPr>
        <w:pStyle w:val="22"/>
        <w:ind w:firstLine="480"/>
        <w:jc w:val="center"/>
        <w:rPr>
          <w:rFonts w:ascii="宋体" w:hAnsi="宋体"/>
          <w:bCs/>
          <w:spacing w:val="0"/>
        </w:rPr>
      </w:pPr>
    </w:p>
    <w:p w14:paraId="48C132C9"/>
    <w:p w14:paraId="6A5F47A5"/>
    <w:p w14:paraId="588AF6F5"/>
    <w:p w14:paraId="78FBB8B2"/>
    <w:p w14:paraId="44D59693">
      <w:pPr>
        <w:jc w:val="center"/>
        <w:rPr>
          <w:rFonts w:ascii="宋体" w:hAnsi="宋体"/>
          <w:kern w:val="0"/>
          <w:sz w:val="32"/>
          <w:szCs w:val="32"/>
        </w:rPr>
      </w:pPr>
    </w:p>
    <w:p w14:paraId="7F7D93F5">
      <w:pPr>
        <w:pStyle w:val="6"/>
        <w:spacing w:line="360" w:lineRule="auto"/>
        <w:jc w:val="center"/>
        <w:rPr>
          <w:rFonts w:ascii="宋体" w:hAnsi="宋体"/>
        </w:rPr>
      </w:pPr>
      <w:r>
        <w:rPr>
          <w:rFonts w:hint="eastAsia" w:ascii="宋体" w:hAnsi="宋体"/>
          <w:sz w:val="32"/>
          <w:szCs w:val="32"/>
        </w:rPr>
        <w:t xml:space="preserve"> </w:t>
      </w:r>
    </w:p>
    <w:p w14:paraId="4A482FA2">
      <w:pPr>
        <w:spacing w:line="360" w:lineRule="auto"/>
        <w:ind w:left="1920" w:hanging="1920" w:hangingChars="800"/>
        <w:rPr>
          <w:rFonts w:ascii="宋体" w:hAnsi="宋体"/>
          <w:sz w:val="24"/>
          <w:u w:val="single"/>
        </w:rPr>
      </w:pPr>
      <w:r>
        <w:rPr>
          <w:rFonts w:hint="eastAsia" w:ascii="宋体" w:hAnsi="宋体"/>
          <w:sz w:val="24"/>
        </w:rPr>
        <w:t>委托单位（甲方）：</w:t>
      </w:r>
      <w:r>
        <w:rPr>
          <w:rFonts w:hint="eastAsia" w:ascii="宋体" w:hAnsi="宋体"/>
          <w:sz w:val="24"/>
          <w:u w:val="single"/>
        </w:rPr>
        <w:t>广州大学</w:t>
      </w:r>
    </w:p>
    <w:p w14:paraId="6361307F">
      <w:pPr>
        <w:pStyle w:val="6"/>
        <w:spacing w:line="360" w:lineRule="auto"/>
        <w:rPr>
          <w:rFonts w:ascii="宋体" w:hAnsi="宋体"/>
          <w:u w:val="single"/>
        </w:rPr>
      </w:pPr>
      <w:r>
        <w:rPr>
          <w:rFonts w:ascii="宋体" w:hAnsi="宋体"/>
        </w:rPr>
        <mc:AlternateContent>
          <mc:Choice Requires="wps">
            <w:drawing>
              <wp:anchor distT="0" distB="0" distL="114300" distR="114300" simplePos="0" relativeHeight="251663360" behindDoc="0" locked="0" layoutInCell="0" allowOverlap="1">
                <wp:simplePos x="0" y="0"/>
                <wp:positionH relativeFrom="column">
                  <wp:posOffset>1460500</wp:posOffset>
                </wp:positionH>
                <wp:positionV relativeFrom="paragraph">
                  <wp:posOffset>172720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5pt;margin-top:13.6pt;height:0pt;width:0.05pt;z-index:251663360;mso-width-relative:page;mso-height-relative:page;" filled="f" stroked="t" coordsize="21600,21600" o:allowincell="f" o:gfxdata="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8A&#10;NN/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rPr>
        <w:t>受托单位（乙方）：</w:t>
      </w:r>
      <w:r>
        <w:rPr>
          <w:rFonts w:hint="eastAsia" w:ascii="宋体" w:hAnsi="宋体"/>
          <w:u w:val="single"/>
        </w:rPr>
        <w:t xml:space="preserve">                     </w:t>
      </w:r>
    </w:p>
    <w:p w14:paraId="04BA3AD9">
      <w:pPr>
        <w:pStyle w:val="6"/>
        <w:spacing w:line="360" w:lineRule="auto"/>
        <w:ind w:firstLine="480" w:firstLineChars="200"/>
        <w:rPr>
          <w:rFonts w:ascii="宋体" w:hAnsi="宋体"/>
        </w:rPr>
      </w:pPr>
      <w:r>
        <w:rPr>
          <w:rFonts w:ascii="宋体" w:hAnsi="宋体"/>
        </w:rPr>
        <mc:AlternateContent>
          <mc:Choice Requires="wps">
            <w:drawing>
              <wp:anchor distT="0" distB="0" distL="114300" distR="114300" simplePos="0" relativeHeight="251662336" behindDoc="0" locked="0" layoutInCell="0" allowOverlap="1">
                <wp:simplePos x="0" y="0"/>
                <wp:positionH relativeFrom="column">
                  <wp:posOffset>2159000</wp:posOffset>
                </wp:positionH>
                <wp:positionV relativeFrom="paragraph">
                  <wp:posOffset>259715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0pt;margin-top:20.45pt;height:0pt;width:0.05pt;z-index:251662336;mso-width-relative:page;mso-height-relative:page;" filled="f" stroked="t" coordsize="21600,21600" o:allowincell="f" o:gfxdata="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aecObB04Xdf&#10;ft5+/vb711da7358Z6dZpD5gTbFXbhVHD8MqZsa7Ntr8Jy5sV4TdH4RVu8QEbZ6/PO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vmra1QAAAAkBAAAPAAAAAAAAAAEAIAAAACIAAABkcnMvZG93bnJldi54bWxQSwECFAAUAAAACACH&#10;TuJAA+eQE+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rPr>
        <w:t>本合同甲方委托乙方进行</w:t>
      </w:r>
      <w:r>
        <w:rPr>
          <w:rFonts w:hint="eastAsia" w:ascii="宋体" w:hAnsi="宋体"/>
          <w:color w:val="000000"/>
          <w:u w:val="single"/>
        </w:rPr>
        <w:t>广州大学202</w:t>
      </w:r>
      <w:r>
        <w:rPr>
          <w:rFonts w:hint="eastAsia" w:ascii="宋体" w:hAnsi="宋体"/>
          <w:color w:val="000000"/>
          <w:u w:val="single"/>
          <w:lang w:val="en-US" w:eastAsia="zh-CN"/>
        </w:rPr>
        <w:t>5</w:t>
      </w:r>
      <w:r>
        <w:rPr>
          <w:rFonts w:hint="eastAsia" w:ascii="宋体" w:hAnsi="宋体"/>
          <w:color w:val="000000"/>
          <w:u w:val="single"/>
        </w:rPr>
        <w:t>年大学城校区毕业生宿舍维修翻新工程检测服务</w:t>
      </w:r>
      <w:r>
        <w:rPr>
          <w:rFonts w:hint="eastAsia" w:ascii="宋体" w:hAnsi="宋体"/>
        </w:rPr>
        <w:t>，并支付相应的技术服务报酬。双方经过平等协商，在真实、充分地表达各自意愿的基础上，根据《中华人民共和国民法典》的规定，达成如下协议，并由双方共同恪守。</w:t>
      </w:r>
    </w:p>
    <w:p w14:paraId="737785E0">
      <w:pPr>
        <w:pStyle w:val="6"/>
        <w:spacing w:line="360" w:lineRule="auto"/>
        <w:ind w:firstLine="480" w:firstLineChars="200"/>
        <w:rPr>
          <w:rFonts w:ascii="宋体" w:hAnsi="宋体"/>
        </w:rPr>
      </w:pPr>
    </w:p>
    <w:p w14:paraId="11F11A4C">
      <w:pPr>
        <w:pStyle w:val="6"/>
        <w:spacing w:line="360" w:lineRule="auto"/>
        <w:ind w:firstLine="472" w:firstLineChars="196"/>
        <w:rPr>
          <w:rFonts w:ascii="宋体" w:hAnsi="宋体"/>
          <w:b/>
        </w:rPr>
      </w:pPr>
      <w:r>
        <w:rPr>
          <w:rFonts w:hint="eastAsia" w:ascii="宋体" w:hAnsi="宋体"/>
          <w:b/>
        </w:rPr>
        <w:t>第一条  甲方委托乙方进行技术服务内容</w:t>
      </w:r>
    </w:p>
    <w:p w14:paraId="27452822">
      <w:pPr>
        <w:spacing w:line="360" w:lineRule="auto"/>
        <w:ind w:firstLine="480" w:firstLineChars="200"/>
        <w:rPr>
          <w:rFonts w:ascii="宋体" w:hAnsi="宋体"/>
          <w:sz w:val="24"/>
        </w:rPr>
      </w:pPr>
      <w:r>
        <w:rPr>
          <w:rFonts w:ascii="宋体" w:hAnsi="宋体"/>
          <w:sz w:val="24"/>
        </w:rPr>
        <w:t>1.</w:t>
      </w:r>
      <w:r>
        <w:rPr>
          <w:rFonts w:hint="eastAsia" w:ascii="宋体" w:hAnsi="宋体"/>
          <w:sz w:val="24"/>
        </w:rPr>
        <w:t>1技术服务的目标：严格按照规范要求进行各项检测鉴定工作，及时提供检测鉴定结果，满足工程建设需要。</w:t>
      </w:r>
    </w:p>
    <w:p w14:paraId="1940A662">
      <w:pPr>
        <w:spacing w:line="360" w:lineRule="auto"/>
        <w:ind w:firstLine="480" w:firstLineChars="200"/>
        <w:rPr>
          <w:rFonts w:ascii="宋体" w:hAnsi="宋体"/>
          <w:sz w:val="24"/>
        </w:rPr>
      </w:pPr>
      <w:r>
        <w:rPr>
          <w:rFonts w:hint="eastAsia" w:ascii="宋体" w:hAnsi="宋体"/>
          <w:sz w:val="24"/>
        </w:rPr>
        <w:t>1.2技术服务范围：编制检测鉴定方案经甲方、设计单位、监理单位、施工单位等单位确认，按确认的方案实施检测鉴定并出具检测鉴定报告。</w:t>
      </w:r>
    </w:p>
    <w:p w14:paraId="3D903C8C">
      <w:pPr>
        <w:widowControl/>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1.3技术服务的内容：包括但不限于报价文件中《清单报价表》的内容和根据相关主管部门要求需检测的其他内容（具体以施工图纸所包含的全部内容为准）。</w:t>
      </w:r>
    </w:p>
    <w:p w14:paraId="31BE8591">
      <w:pPr>
        <w:widowControl/>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1.4实际工程量以甲方确认为准，甲方根据工程实际情况，有权对乙方的承包范围及内容进行适当调整。调整内容的结算按5.</w:t>
      </w:r>
      <w:r>
        <w:rPr>
          <w:rFonts w:ascii="宋体" w:hAnsi="宋体"/>
          <w:color w:val="000000"/>
          <w:sz w:val="24"/>
        </w:rPr>
        <w:t>4</w:t>
      </w:r>
      <w:r>
        <w:rPr>
          <w:rFonts w:hint="eastAsia" w:ascii="宋体" w:hAnsi="宋体"/>
          <w:color w:val="000000"/>
          <w:sz w:val="24"/>
        </w:rPr>
        <w:t>条款执行，乙方必须无条件服从。</w:t>
      </w:r>
    </w:p>
    <w:p w14:paraId="5C652F9C">
      <w:pPr>
        <w:pStyle w:val="6"/>
        <w:spacing w:line="360" w:lineRule="auto"/>
        <w:ind w:firstLine="480" w:firstLineChars="200"/>
        <w:rPr>
          <w:rFonts w:ascii="宋体" w:hAnsi="宋体"/>
          <w:color w:val="000000"/>
        </w:rPr>
      </w:pPr>
      <w:r>
        <w:rPr>
          <w:rFonts w:hint="eastAsia" w:ascii="宋体" w:hAnsi="宋体"/>
          <w:color w:val="000000"/>
        </w:rPr>
        <w:t>1.5服务范围除以上工程项目检测鉴定服务工作外，还包括：</w:t>
      </w:r>
    </w:p>
    <w:p w14:paraId="150E86D9">
      <w:pPr>
        <w:pStyle w:val="6"/>
        <w:spacing w:line="360" w:lineRule="auto"/>
        <w:ind w:firstLine="480" w:firstLineChars="200"/>
        <w:rPr>
          <w:rFonts w:ascii="宋体" w:hAnsi="宋体"/>
          <w:color w:val="000000"/>
        </w:rPr>
      </w:pPr>
      <w:r>
        <w:rPr>
          <w:rFonts w:hint="eastAsia" w:ascii="宋体" w:hAnsi="宋体"/>
          <w:color w:val="000000"/>
        </w:rPr>
        <w:t>（1） 乙方须根据项目相关资料、规范和相关行政职能部门及采购人要求，结合项目实际情况，编制检测鉴定方案。乙方负责将检测鉴定方案报监理单位、设计单位、采购人等相关单位审批同意后实施，及时按方案及相关规定落实检测工作，并积极与工程相关的施工、监理、设计、咨询等相关单位协调，确保不因检测工作滞后影响本工程项目的建设进度和竣工验收，并负责按要求在相关平台报送检测数据（若需）；</w:t>
      </w:r>
    </w:p>
    <w:p w14:paraId="30FE1D33">
      <w:pPr>
        <w:pStyle w:val="6"/>
        <w:spacing w:line="360" w:lineRule="auto"/>
        <w:ind w:firstLine="480" w:firstLineChars="20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项目实施期间，因项目需要，需对检测方案进行调整（调整包含增减检测数量、或新增、取消检测项目等）的，乙方应充分理解此风险，无条件配合提供检测，并按要求出具检测报告。乙方检测资质不能涵盖调整内容的，报甲方批准后由乙方委托具有相应资质的单位实施。</w:t>
      </w:r>
    </w:p>
    <w:p w14:paraId="18ABC38F">
      <w:pPr>
        <w:pStyle w:val="6"/>
        <w:widowControl/>
        <w:spacing w:line="360" w:lineRule="auto"/>
        <w:rPr>
          <w:rFonts w:ascii="宋体" w:hAnsi="宋体"/>
          <w:b/>
          <w:color w:val="000000"/>
        </w:rPr>
      </w:pPr>
      <w:r>
        <w:rPr>
          <w:rFonts w:hint="eastAsia" w:ascii="宋体" w:hAnsi="宋体"/>
          <w:b/>
          <w:color w:val="000000"/>
        </w:rPr>
        <w:t xml:space="preserve">第二条  乙方完成技术服务工作的要求 </w:t>
      </w:r>
    </w:p>
    <w:p w14:paraId="6C7DC6D5">
      <w:pPr>
        <w:pStyle w:val="6"/>
        <w:spacing w:line="360" w:lineRule="auto"/>
        <w:ind w:firstLine="480" w:firstLineChars="200"/>
        <w:rPr>
          <w:rFonts w:ascii="宋体" w:hAnsi="宋体"/>
          <w:color w:val="000000"/>
        </w:rPr>
      </w:pPr>
      <w:r>
        <w:rPr>
          <w:rFonts w:hint="eastAsia" w:ascii="宋体" w:hAnsi="宋体"/>
          <w:color w:val="000000"/>
        </w:rPr>
        <w:t>2.1技术服务地点：广州大学城校区生活区</w:t>
      </w:r>
    </w:p>
    <w:p w14:paraId="496A19BA">
      <w:pPr>
        <w:pStyle w:val="6"/>
        <w:spacing w:line="360" w:lineRule="auto"/>
        <w:ind w:firstLine="480" w:firstLineChars="200"/>
        <w:rPr>
          <w:rFonts w:ascii="宋体" w:hAnsi="宋体"/>
          <w:color w:val="000000"/>
        </w:rPr>
      </w:pPr>
      <w:r>
        <w:rPr>
          <w:rFonts w:hint="eastAsia" w:ascii="宋体" w:hAnsi="宋体"/>
          <w:color w:val="000000"/>
        </w:rPr>
        <w:t>2.2技术服务期限：从乙方进场</w:t>
      </w:r>
      <w:r>
        <w:rPr>
          <w:rFonts w:hint="eastAsia" w:ascii="宋体" w:hAnsi="宋体"/>
        </w:rPr>
        <w:t>开始至所有检测鉴定服务项目完成，并出具检测鉴定报告止。</w:t>
      </w:r>
      <w:r>
        <w:rPr>
          <w:rFonts w:hint="eastAsia" w:ascii="宋体" w:hAnsi="宋体"/>
          <w:color w:val="000000"/>
        </w:rPr>
        <w:t>服务期限必须满足实际施工要求。</w:t>
      </w:r>
    </w:p>
    <w:p w14:paraId="504D46F5">
      <w:pPr>
        <w:pStyle w:val="6"/>
        <w:spacing w:line="360" w:lineRule="auto"/>
        <w:ind w:firstLine="480" w:firstLineChars="200"/>
        <w:rPr>
          <w:rFonts w:ascii="宋体" w:hAnsi="宋体"/>
          <w:color w:val="000000"/>
        </w:rPr>
      </w:pPr>
      <w:r>
        <w:rPr>
          <w:rFonts w:hint="eastAsia" w:ascii="宋体" w:hAnsi="宋体"/>
          <w:color w:val="000000"/>
        </w:rPr>
        <w:t>2.3技术服务进度：具体检测鉴定时间参照既定检测鉴定方案，并随工程进度、检测反馈及甲方要求做相应的调整。</w:t>
      </w:r>
    </w:p>
    <w:p w14:paraId="18D21D3C">
      <w:pPr>
        <w:pStyle w:val="6"/>
        <w:spacing w:line="360" w:lineRule="auto"/>
        <w:ind w:firstLine="480" w:firstLineChars="200"/>
        <w:rPr>
          <w:rFonts w:ascii="宋体" w:hAnsi="宋体"/>
          <w:color w:val="000000"/>
        </w:rPr>
      </w:pPr>
      <w:r>
        <w:rPr>
          <w:rFonts w:hint="eastAsia" w:ascii="宋体" w:hAnsi="宋体"/>
          <w:color w:val="000000"/>
        </w:rPr>
        <w:t>2.4检测依据：</w:t>
      </w:r>
    </w:p>
    <w:p w14:paraId="40EC2CD1">
      <w:pPr>
        <w:pStyle w:val="6"/>
        <w:spacing w:line="360" w:lineRule="auto"/>
        <w:ind w:firstLine="480" w:firstLineChars="200"/>
        <w:rPr>
          <w:rFonts w:ascii="宋体" w:hAnsi="宋体"/>
          <w:color w:val="000000"/>
        </w:rPr>
      </w:pPr>
      <w:r>
        <w:rPr>
          <w:rFonts w:hint="eastAsia" w:ascii="宋体" w:hAnsi="宋体"/>
          <w:color w:val="000000"/>
        </w:rPr>
        <w:t>（1）国家、省、市现行有关规范和规定；</w:t>
      </w:r>
    </w:p>
    <w:p w14:paraId="69E2EDAC">
      <w:pPr>
        <w:pStyle w:val="6"/>
        <w:spacing w:line="360" w:lineRule="auto"/>
        <w:ind w:firstLine="480" w:firstLineChars="200"/>
        <w:rPr>
          <w:rFonts w:ascii="宋体" w:hAnsi="宋体"/>
          <w:color w:val="000000"/>
        </w:rPr>
      </w:pPr>
      <w:r>
        <w:rPr>
          <w:rFonts w:hint="eastAsia" w:ascii="宋体" w:hAnsi="宋体"/>
          <w:color w:val="000000"/>
        </w:rPr>
        <w:t>（2）甲方提供的相关技术资料（设计图纸等）。</w:t>
      </w:r>
    </w:p>
    <w:p w14:paraId="035BC134">
      <w:pPr>
        <w:pStyle w:val="6"/>
        <w:spacing w:line="360" w:lineRule="auto"/>
        <w:ind w:firstLine="480" w:firstLineChars="200"/>
        <w:rPr>
          <w:rFonts w:ascii="宋体" w:hAnsi="宋体"/>
          <w:color w:val="000000"/>
        </w:rPr>
      </w:pPr>
      <w:r>
        <w:rPr>
          <w:rFonts w:hint="eastAsia" w:ascii="宋体" w:hAnsi="宋体"/>
          <w:color w:val="000000"/>
        </w:rPr>
        <w:t>2.5技术服务质量要求：</w:t>
      </w:r>
    </w:p>
    <w:p w14:paraId="3B511B9C">
      <w:pPr>
        <w:pStyle w:val="6"/>
        <w:spacing w:line="360" w:lineRule="auto"/>
        <w:ind w:firstLine="480" w:firstLineChars="200"/>
        <w:rPr>
          <w:rFonts w:ascii="宋体" w:hAnsi="宋体"/>
          <w:color w:val="000000"/>
        </w:rPr>
      </w:pPr>
      <w:r>
        <w:rPr>
          <w:rFonts w:hint="eastAsia" w:ascii="宋体" w:hAnsi="宋体"/>
          <w:color w:val="000000"/>
        </w:rPr>
        <w:t>（1）各项检测鉴定按国家、省、市现行有关规范和规定的要求及设计要求进行；</w:t>
      </w:r>
    </w:p>
    <w:p w14:paraId="368CA61D">
      <w:pPr>
        <w:pStyle w:val="6"/>
        <w:spacing w:line="360" w:lineRule="auto"/>
        <w:ind w:firstLine="480" w:firstLineChars="200"/>
        <w:rPr>
          <w:rFonts w:ascii="宋体" w:hAnsi="宋体"/>
          <w:color w:val="000000"/>
        </w:rPr>
      </w:pPr>
      <w:r>
        <w:rPr>
          <w:rFonts w:hint="eastAsia" w:ascii="宋体" w:hAnsi="宋体"/>
          <w:color w:val="000000"/>
        </w:rPr>
        <w:t>（2）乙方应根据甲方通知，及时组织人员进行检测鉴定。</w:t>
      </w:r>
    </w:p>
    <w:p w14:paraId="40E05BBE">
      <w:pPr>
        <w:pStyle w:val="6"/>
        <w:spacing w:line="360" w:lineRule="auto"/>
        <w:ind w:firstLine="480" w:firstLineChars="200"/>
        <w:rPr>
          <w:rFonts w:ascii="宋体" w:hAnsi="宋体"/>
          <w:color w:val="000000"/>
        </w:rPr>
      </w:pPr>
      <w:r>
        <w:rPr>
          <w:rFonts w:hint="eastAsia" w:ascii="宋体" w:hAnsi="宋体"/>
          <w:color w:val="000000"/>
        </w:rPr>
        <w:t>（3）根据检测鉴定结果及时出具科学、公正的技术服务报告，满足工程质量验收要求。</w:t>
      </w:r>
    </w:p>
    <w:p w14:paraId="21D9E2D1">
      <w:pPr>
        <w:pStyle w:val="6"/>
        <w:spacing w:line="360" w:lineRule="auto"/>
        <w:ind w:firstLine="480" w:firstLineChars="200"/>
        <w:rPr>
          <w:rFonts w:ascii="宋体" w:hAnsi="宋体"/>
          <w:color w:val="000000"/>
        </w:rPr>
      </w:pPr>
      <w:r>
        <w:rPr>
          <w:rFonts w:hint="eastAsia" w:ascii="宋体" w:hAnsi="宋体"/>
          <w:color w:val="000000"/>
        </w:rPr>
        <w:t>2.6乙方根据行业标准和要求编写技术服务结果报告，在甲方要求的时间内提供技术服务结果报告一式四份。技术报告提交时间如下：在现场满足检测条件后，①建筑材料检测3个日历天内出具初步检测结果，7个日历天内出具检测报告；②室内环境污染物检测3个日历天内出具该批次的检测报告，不得因检测工作滞后影响工程进度（检测单位须根据现场施工进度及时开展检测鉴定工作，并分批出具检测数据及成果文件）。</w:t>
      </w:r>
      <w:r>
        <w:rPr>
          <w:rFonts w:ascii="宋体" w:hAnsi="宋体"/>
          <w:color w:val="000000"/>
        </w:rPr>
        <w:t xml:space="preserve"> </w:t>
      </w:r>
    </w:p>
    <w:p w14:paraId="6E4DA5C5">
      <w:pPr>
        <w:pStyle w:val="6"/>
        <w:spacing w:line="360" w:lineRule="auto"/>
        <w:ind w:firstLine="482" w:firstLineChars="200"/>
        <w:rPr>
          <w:rFonts w:ascii="宋体" w:hAnsi="宋体"/>
          <w:b/>
          <w:color w:val="000000"/>
        </w:rPr>
      </w:pPr>
      <w:r>
        <w:rPr>
          <w:rFonts w:hint="eastAsia" w:ascii="宋体" w:hAnsi="宋体"/>
          <w:b/>
          <w:bCs/>
          <w:color w:val="000000"/>
        </w:rPr>
        <w:t>第三条</w:t>
      </w:r>
      <w:r>
        <w:rPr>
          <w:rFonts w:hint="eastAsia" w:ascii="宋体" w:hAnsi="宋体"/>
          <w:b/>
          <w:color w:val="000000"/>
        </w:rPr>
        <w:t xml:space="preserve"> 甲方权利、义务</w:t>
      </w:r>
    </w:p>
    <w:p w14:paraId="42EECA52">
      <w:pPr>
        <w:pStyle w:val="6"/>
        <w:spacing w:line="360" w:lineRule="auto"/>
        <w:ind w:firstLine="480" w:firstLineChars="200"/>
        <w:rPr>
          <w:rFonts w:ascii="宋体" w:hAnsi="宋体"/>
          <w:color w:val="000000"/>
        </w:rPr>
      </w:pPr>
      <w:bookmarkStart w:id="1" w:name="_Toc10627403"/>
      <w:r>
        <w:rPr>
          <w:rFonts w:hint="eastAsia" w:ascii="宋体" w:hAnsi="宋体"/>
          <w:color w:val="000000"/>
        </w:rPr>
        <w:t>3.1现场监督</w:t>
      </w:r>
      <w:bookmarkEnd w:id="1"/>
    </w:p>
    <w:p w14:paraId="2C1C184C">
      <w:pPr>
        <w:pStyle w:val="6"/>
        <w:spacing w:line="360" w:lineRule="auto"/>
        <w:ind w:firstLine="480" w:firstLineChars="200"/>
        <w:rPr>
          <w:rFonts w:ascii="宋体" w:hAnsi="宋体"/>
          <w:color w:val="000000"/>
        </w:rPr>
      </w:pPr>
      <w:r>
        <w:rPr>
          <w:rFonts w:hint="eastAsia" w:ascii="宋体" w:hAnsi="宋体"/>
          <w:color w:val="000000"/>
        </w:rPr>
        <w:t>甲方有权亲自或派人在工程作业现场实施旁站监督。</w:t>
      </w:r>
    </w:p>
    <w:p w14:paraId="34CF55A3">
      <w:pPr>
        <w:pStyle w:val="6"/>
        <w:spacing w:line="360" w:lineRule="auto"/>
        <w:ind w:firstLine="480" w:firstLineChars="200"/>
        <w:rPr>
          <w:rFonts w:ascii="宋体" w:hAnsi="宋体"/>
          <w:color w:val="000000"/>
        </w:rPr>
      </w:pPr>
      <w:bookmarkStart w:id="2" w:name="_Toc10627404"/>
      <w:r>
        <w:rPr>
          <w:rFonts w:hint="eastAsia" w:ascii="宋体" w:hAnsi="宋体"/>
          <w:color w:val="000000"/>
        </w:rPr>
        <w:t>3.2提供资料和工作条件</w:t>
      </w:r>
      <w:bookmarkEnd w:id="2"/>
    </w:p>
    <w:p w14:paraId="41DA51E6">
      <w:pPr>
        <w:pStyle w:val="6"/>
        <w:spacing w:line="360" w:lineRule="auto"/>
        <w:ind w:firstLine="480" w:firstLineChars="200"/>
        <w:rPr>
          <w:rFonts w:ascii="宋体" w:hAnsi="宋体"/>
          <w:color w:val="000000"/>
        </w:rPr>
      </w:pPr>
      <w:r>
        <w:rPr>
          <w:rFonts w:hint="eastAsia" w:ascii="宋体" w:hAnsi="宋体"/>
          <w:color w:val="000000"/>
        </w:rPr>
        <w:t>3.2.1甲方应当在专用条款约定范围内向乙方提供与本合同检测业务有关的资料。在本合同履行过程中，甲方应及时向乙方提供最新的与本合同检测业务有关的资料。</w:t>
      </w:r>
    </w:p>
    <w:p w14:paraId="08810F79">
      <w:pPr>
        <w:pStyle w:val="6"/>
        <w:spacing w:line="360" w:lineRule="auto"/>
        <w:ind w:firstLine="480" w:firstLineChars="200"/>
        <w:rPr>
          <w:rFonts w:ascii="宋体" w:hAnsi="宋体"/>
          <w:color w:val="000000"/>
        </w:rPr>
      </w:pPr>
      <w:r>
        <w:rPr>
          <w:rFonts w:hint="eastAsia" w:ascii="宋体" w:hAnsi="宋体"/>
          <w:color w:val="000000"/>
        </w:rPr>
        <w:t>3.2.2甲方应为乙方完成质量检测提供必要的现场条件，并为保障检测工作顺利进行提供必要的协调和协助工作。</w:t>
      </w:r>
    </w:p>
    <w:p w14:paraId="0F0F1C46">
      <w:pPr>
        <w:pStyle w:val="6"/>
        <w:spacing w:line="360" w:lineRule="auto"/>
        <w:ind w:firstLine="480" w:firstLineChars="200"/>
        <w:rPr>
          <w:rFonts w:ascii="宋体" w:hAnsi="宋体"/>
          <w:color w:val="000000"/>
        </w:rPr>
      </w:pPr>
      <w:bookmarkStart w:id="3" w:name="_Toc10627405"/>
      <w:r>
        <w:rPr>
          <w:rFonts w:hint="eastAsia" w:ascii="宋体" w:hAnsi="宋体"/>
          <w:color w:val="000000"/>
        </w:rPr>
        <w:t>3.3成果确认及验收支付</w:t>
      </w:r>
      <w:bookmarkEnd w:id="3"/>
    </w:p>
    <w:p w14:paraId="03B4E1C3">
      <w:pPr>
        <w:pStyle w:val="6"/>
        <w:spacing w:line="360" w:lineRule="auto"/>
        <w:ind w:firstLine="480" w:firstLineChars="200"/>
        <w:rPr>
          <w:rFonts w:ascii="宋体" w:hAnsi="宋体"/>
          <w:color w:val="000000"/>
        </w:rPr>
      </w:pPr>
      <w:r>
        <w:rPr>
          <w:rFonts w:hint="eastAsia" w:ascii="宋体" w:hAnsi="宋体"/>
          <w:color w:val="000000"/>
        </w:rPr>
        <w:t>3.3.1甲方项目负责人应对乙方按要求完成的工程量予以签字确认。</w:t>
      </w:r>
    </w:p>
    <w:p w14:paraId="2D701DC8">
      <w:pPr>
        <w:pStyle w:val="6"/>
        <w:spacing w:line="360" w:lineRule="auto"/>
        <w:ind w:firstLine="480" w:firstLineChars="200"/>
        <w:rPr>
          <w:rFonts w:ascii="宋体" w:hAnsi="宋体"/>
          <w:color w:val="000000"/>
        </w:rPr>
      </w:pPr>
      <w:r>
        <w:rPr>
          <w:rFonts w:hint="eastAsia" w:ascii="宋体" w:hAnsi="宋体"/>
          <w:color w:val="000000"/>
        </w:rPr>
        <w:t>3.3.2若检测内容或工程量等要求发生变化时，甲方应及时通知乙方。</w:t>
      </w:r>
    </w:p>
    <w:p w14:paraId="2F96978A">
      <w:pPr>
        <w:pStyle w:val="6"/>
        <w:spacing w:line="360" w:lineRule="auto"/>
        <w:ind w:firstLine="480" w:firstLineChars="200"/>
        <w:rPr>
          <w:rFonts w:ascii="宋体" w:hAnsi="宋体"/>
          <w:color w:val="000000"/>
        </w:rPr>
      </w:pPr>
      <w:r>
        <w:rPr>
          <w:rFonts w:hint="eastAsia" w:ascii="宋体" w:hAnsi="宋体"/>
          <w:color w:val="000000"/>
        </w:rPr>
        <w:t>3.3.3甲方应按约定的期限验收检测成果报告，审核结算，支付乙方应得款项。</w:t>
      </w:r>
    </w:p>
    <w:p w14:paraId="0A22AB9E">
      <w:pPr>
        <w:pStyle w:val="6"/>
        <w:spacing w:line="360" w:lineRule="auto"/>
        <w:ind w:firstLine="480" w:firstLineChars="200"/>
        <w:rPr>
          <w:rFonts w:ascii="宋体" w:hAnsi="宋体"/>
          <w:color w:val="000000"/>
        </w:rPr>
      </w:pPr>
      <w:bookmarkStart w:id="4" w:name="_Toc10627406"/>
      <w:r>
        <w:rPr>
          <w:rFonts w:hint="eastAsia" w:ascii="宋体" w:hAnsi="宋体"/>
          <w:color w:val="000000"/>
        </w:rPr>
        <w:t>3.4 其它</w:t>
      </w:r>
      <w:bookmarkEnd w:id="4"/>
    </w:p>
    <w:p w14:paraId="16529A76">
      <w:pPr>
        <w:pStyle w:val="6"/>
        <w:spacing w:line="360" w:lineRule="auto"/>
        <w:ind w:firstLine="480" w:firstLineChars="200"/>
        <w:rPr>
          <w:rFonts w:ascii="宋体" w:hAnsi="宋体"/>
          <w:color w:val="000000"/>
        </w:rPr>
      </w:pPr>
      <w:r>
        <w:rPr>
          <w:rFonts w:hint="eastAsia" w:ascii="宋体" w:hAnsi="宋体"/>
          <w:color w:val="000000"/>
        </w:rPr>
        <w:t>甲方应保护乙方的投标书、检测技术方案、报告书、文件、资料图纸、数据、专利技术和合理化建议，未经乙方同意，不得泄露、不得擅自修改或向与该项目无关的人员转让或用于本合同外的项目。</w:t>
      </w:r>
    </w:p>
    <w:p w14:paraId="45BBA48F">
      <w:pPr>
        <w:snapToGrid w:val="0"/>
        <w:spacing w:line="360" w:lineRule="auto"/>
        <w:ind w:firstLine="540"/>
        <w:rPr>
          <w:rFonts w:ascii="宋体" w:hAnsi="宋体"/>
          <w:color w:val="000000"/>
          <w:sz w:val="24"/>
        </w:rPr>
      </w:pPr>
    </w:p>
    <w:p w14:paraId="1FA216A9">
      <w:pPr>
        <w:pStyle w:val="2"/>
        <w:jc w:val="left"/>
        <w:rPr>
          <w:rFonts w:ascii="宋体" w:hAnsi="宋体"/>
          <w:color w:val="000000"/>
          <w:szCs w:val="22"/>
        </w:rPr>
      </w:pPr>
      <w:r>
        <w:rPr>
          <w:rFonts w:hint="eastAsia" w:ascii="宋体" w:hAnsi="宋体"/>
          <w:color w:val="000000"/>
        </w:rPr>
        <w:t xml:space="preserve">第四条  </w:t>
      </w:r>
      <w:r>
        <w:rPr>
          <w:rFonts w:hint="eastAsia" w:ascii="宋体" w:hAnsi="宋体"/>
          <w:color w:val="000000"/>
          <w:szCs w:val="22"/>
        </w:rPr>
        <w:t>乙方的权利、义务</w:t>
      </w:r>
    </w:p>
    <w:p w14:paraId="2D1DA1FE">
      <w:pPr>
        <w:pStyle w:val="6"/>
        <w:spacing w:line="360" w:lineRule="auto"/>
        <w:ind w:firstLine="480" w:firstLineChars="200"/>
        <w:rPr>
          <w:rFonts w:ascii="宋体" w:hAnsi="宋体"/>
          <w:color w:val="000000"/>
        </w:rPr>
      </w:pPr>
      <w:r>
        <w:rPr>
          <w:rFonts w:hint="eastAsia" w:ascii="宋体" w:hAnsi="宋体"/>
          <w:color w:val="000000"/>
        </w:rPr>
        <w:t>4.1提供检测鉴定前现场准备工作的技术咨询。</w:t>
      </w:r>
    </w:p>
    <w:p w14:paraId="6DE4CA27">
      <w:pPr>
        <w:pStyle w:val="6"/>
        <w:spacing w:line="360" w:lineRule="auto"/>
        <w:ind w:firstLine="480" w:firstLineChars="200"/>
        <w:rPr>
          <w:rFonts w:ascii="宋体" w:hAnsi="宋体"/>
          <w:color w:val="000000"/>
        </w:rPr>
      </w:pPr>
      <w:r>
        <w:rPr>
          <w:rFonts w:hint="eastAsia" w:ascii="宋体" w:hAnsi="宋体"/>
          <w:color w:val="000000"/>
        </w:rPr>
        <w:t>4.2提供检测鉴定所需的材料、设备、仪器。</w:t>
      </w:r>
    </w:p>
    <w:p w14:paraId="5687658D">
      <w:pPr>
        <w:pStyle w:val="6"/>
        <w:spacing w:line="360" w:lineRule="auto"/>
        <w:ind w:firstLine="480" w:firstLineChars="200"/>
        <w:rPr>
          <w:rFonts w:ascii="宋体" w:hAnsi="宋体"/>
          <w:color w:val="000000"/>
        </w:rPr>
      </w:pPr>
      <w:r>
        <w:rPr>
          <w:rFonts w:hint="eastAsia" w:ascii="宋体" w:hAnsi="宋体"/>
          <w:color w:val="000000"/>
        </w:rPr>
        <w:t>4.3保证检测鉴定人员具备相应的检测鉴定资格，保证持有的检测鉴定资质满足地方管理要求。</w:t>
      </w:r>
    </w:p>
    <w:p w14:paraId="3E090691">
      <w:pPr>
        <w:pStyle w:val="6"/>
        <w:spacing w:line="360" w:lineRule="auto"/>
        <w:ind w:firstLine="480" w:firstLineChars="200"/>
        <w:rPr>
          <w:rFonts w:ascii="宋体" w:hAnsi="宋体"/>
          <w:color w:val="000000"/>
        </w:rPr>
      </w:pPr>
      <w:r>
        <w:rPr>
          <w:rFonts w:hint="eastAsia" w:ascii="宋体" w:hAnsi="宋体"/>
          <w:color w:val="000000"/>
        </w:rPr>
        <w:t>4.4在本合同履行过程中，乙方人员应保持相对稳定，以保证检测工作正常进行。乙方可根据工程进展和工作需要等情形调整检测人员，更换项目负责人时应征得甲方同意后方可更换。</w:t>
      </w:r>
    </w:p>
    <w:p w14:paraId="207D0075">
      <w:pPr>
        <w:pStyle w:val="6"/>
        <w:spacing w:line="360" w:lineRule="auto"/>
        <w:ind w:firstLine="480" w:firstLineChars="200"/>
        <w:rPr>
          <w:rFonts w:ascii="宋体" w:hAnsi="宋体"/>
          <w:color w:val="000000"/>
        </w:rPr>
      </w:pPr>
      <w:r>
        <w:rPr>
          <w:rFonts w:hint="eastAsia" w:ascii="宋体" w:hAnsi="宋体"/>
          <w:color w:val="000000"/>
        </w:rPr>
        <w:t>4.5保证检测鉴定的公正性、准确性、及时性，保证检测鉴定工作符合合同约定的规范要求。</w:t>
      </w:r>
    </w:p>
    <w:p w14:paraId="08A47ABE">
      <w:pPr>
        <w:pStyle w:val="6"/>
        <w:spacing w:line="360" w:lineRule="auto"/>
        <w:ind w:firstLine="480" w:firstLineChars="200"/>
        <w:rPr>
          <w:rFonts w:ascii="宋体" w:hAnsi="宋体"/>
          <w:color w:val="000000"/>
        </w:rPr>
      </w:pPr>
      <w:r>
        <w:rPr>
          <w:rFonts w:hint="eastAsia" w:ascii="宋体" w:hAnsi="宋体"/>
          <w:color w:val="000000"/>
        </w:rPr>
        <w:t>4.6保证按合同要求及国家技术规范、标准、规程和各方确认的检测鉴定技术方案按期进行工程质量检测鉴定工作。</w:t>
      </w:r>
    </w:p>
    <w:p w14:paraId="581331E3">
      <w:pPr>
        <w:pStyle w:val="6"/>
        <w:spacing w:line="360" w:lineRule="auto"/>
        <w:ind w:firstLine="480" w:firstLineChars="200"/>
        <w:rPr>
          <w:rFonts w:ascii="宋体" w:hAnsi="宋体"/>
          <w:color w:val="000000"/>
        </w:rPr>
      </w:pPr>
      <w:r>
        <w:rPr>
          <w:rFonts w:hint="eastAsia" w:ascii="宋体" w:hAnsi="宋体"/>
          <w:color w:val="000000"/>
        </w:rPr>
        <w:t>4.7检测鉴定过程中，根据场地条件和技术规范要求，向甲方提出增减工程量或改变检测鉴定方法意见，并办理正式变更手续。</w:t>
      </w:r>
    </w:p>
    <w:p w14:paraId="0AC291CD">
      <w:pPr>
        <w:pStyle w:val="6"/>
        <w:spacing w:line="360" w:lineRule="auto"/>
        <w:ind w:firstLine="480" w:firstLineChars="200"/>
        <w:rPr>
          <w:rFonts w:ascii="宋体" w:hAnsi="宋体"/>
          <w:color w:val="000000"/>
        </w:rPr>
      </w:pPr>
      <w:r>
        <w:rPr>
          <w:rFonts w:hint="eastAsia" w:ascii="宋体" w:hAnsi="宋体"/>
          <w:color w:val="000000"/>
        </w:rPr>
        <w:t>4.8按照国家现行的标准、规范和规程或省市的有关规程、规定进行检测鉴定，根据合同规定的技术要求及进度提交检测鉴定成果，并对其质量负责。由于乙方原因造成工程检测返工或增加工程量，甲方无需另外支付费用，由乙方自行承担。由于乙方原因造成的施工方停工、返工、窝工，由乙方自行承担全部责任并不得向甲方收取其他费用。同时乙方要承担因此给甲方造成的损失。</w:t>
      </w:r>
    </w:p>
    <w:p w14:paraId="011908A5">
      <w:pPr>
        <w:pStyle w:val="2"/>
        <w:jc w:val="left"/>
        <w:rPr>
          <w:rFonts w:ascii="宋体" w:hAnsi="宋体"/>
          <w:b w:val="0"/>
          <w:color w:val="000000"/>
          <w:szCs w:val="22"/>
        </w:rPr>
      </w:pPr>
      <w:r>
        <w:rPr>
          <w:rFonts w:hint="eastAsia" w:ascii="宋体" w:hAnsi="宋体"/>
          <w:b w:val="0"/>
          <w:color w:val="000000"/>
          <w:szCs w:val="22"/>
        </w:rPr>
        <w:t>4.9在检测过程中，发现初步结果异常时，乙方应及时告知甲方及监理单位，并根据结果异常的程度同时向建设工程监督部门报告。</w:t>
      </w:r>
    </w:p>
    <w:p w14:paraId="44A19B97">
      <w:pPr>
        <w:pStyle w:val="2"/>
        <w:jc w:val="left"/>
        <w:rPr>
          <w:rFonts w:ascii="宋体" w:hAnsi="宋体"/>
          <w:b w:val="0"/>
          <w:color w:val="000000"/>
          <w:szCs w:val="22"/>
        </w:rPr>
      </w:pPr>
      <w:r>
        <w:rPr>
          <w:rFonts w:hint="eastAsia" w:ascii="宋体" w:hAnsi="宋体"/>
          <w:b w:val="0"/>
          <w:color w:val="000000"/>
          <w:szCs w:val="22"/>
        </w:rPr>
        <w:t>4.10乙方负责检测鉴定过程中人员及相关设施设备的安全，并购买相应的保险，遵守安全操作规范，因违规操作造成的损失由乙方负责。检测过程中，对可能造成伤害的区域，乙方应采取防护、防范和警示措施，并严格按省、市、区对现场安全文明施工的相关规定执行。</w:t>
      </w:r>
    </w:p>
    <w:p w14:paraId="2E8665DA">
      <w:pPr>
        <w:pStyle w:val="2"/>
        <w:jc w:val="left"/>
        <w:rPr>
          <w:rFonts w:ascii="宋体" w:hAnsi="宋体"/>
          <w:b w:val="0"/>
          <w:color w:val="000000"/>
          <w:szCs w:val="22"/>
        </w:rPr>
      </w:pPr>
      <w:r>
        <w:rPr>
          <w:rFonts w:hint="eastAsia" w:ascii="宋体" w:hAnsi="宋体"/>
          <w:b w:val="0"/>
          <w:color w:val="000000"/>
          <w:szCs w:val="22"/>
        </w:rPr>
        <w:t>4.11乙方检测人员必须持证上岗，甲方有权对现场检测人员的上岗证进行查实，如出现无证上岗现象甲方有权作出处罚或上报主管部门。乙方必须按投标承诺派出满足本检测服务需要人员，未经甲方同意，乙方不得擅自更换人员。甲方有权要求乙方更换不能按照检测合同的规定履行合同检测人员，其代替的检测人员的资质需不低于投标文件的承诺，并且应得到甲方的认可。</w:t>
      </w:r>
    </w:p>
    <w:p w14:paraId="463BCF09">
      <w:pPr>
        <w:pStyle w:val="2"/>
        <w:jc w:val="left"/>
        <w:rPr>
          <w:rFonts w:ascii="宋体" w:hAnsi="宋体"/>
          <w:b w:val="0"/>
          <w:color w:val="000000"/>
          <w:szCs w:val="22"/>
        </w:rPr>
      </w:pPr>
      <w:r>
        <w:rPr>
          <w:rFonts w:hint="eastAsia" w:ascii="宋体" w:hAnsi="宋体"/>
          <w:b w:val="0"/>
          <w:color w:val="000000"/>
          <w:szCs w:val="22"/>
        </w:rPr>
        <w:t>4.12 甲方不提供住宿、食堂及办公场所，乙方必须严格遵守省、市、区及学校治安管理相关规定。</w:t>
      </w:r>
    </w:p>
    <w:p w14:paraId="35E59EF8">
      <w:pPr>
        <w:pStyle w:val="6"/>
        <w:spacing w:line="360" w:lineRule="auto"/>
        <w:rPr>
          <w:rFonts w:ascii="宋体" w:hAnsi="宋体"/>
          <w:b/>
          <w:color w:val="000000"/>
        </w:rPr>
      </w:pPr>
      <w:r>
        <w:rPr>
          <w:rFonts w:hint="eastAsia" w:ascii="宋体" w:hAnsi="宋体"/>
          <w:b/>
          <w:color w:val="000000"/>
        </w:rPr>
        <w:t>第五条  技术服务费用及支付方式</w:t>
      </w:r>
    </w:p>
    <w:p w14:paraId="0558E2E8">
      <w:pPr>
        <w:pStyle w:val="6"/>
        <w:spacing w:line="360" w:lineRule="auto"/>
        <w:ind w:firstLine="480" w:firstLineChars="200"/>
        <w:rPr>
          <w:rFonts w:ascii="宋体" w:hAnsi="宋体"/>
          <w:color w:val="000000"/>
        </w:rPr>
      </w:pPr>
      <w:r>
        <w:rPr>
          <w:rFonts w:hint="eastAsia" w:ascii="宋体" w:hAnsi="宋体"/>
          <w:color w:val="000000"/>
        </w:rPr>
        <w:t>5.1检测鉴定费按全费用综合单价包干，含检测费、劳务费、材料费、仪器工具使用费、进退场费、交通费、差旅费、保险费、试验费、报告编写费、实物工作收费、技术工作收费、参加相关验收的费用、各项管理费，以及所有因对应标段服务工作应交纳的政府规费、利润、税金等全部费用，包含与建设项目相关单位的协调以及本项目可能产生的风险等所有费用，检测数量按实结算，实际工程量以甲方审核确认为准。</w:t>
      </w:r>
    </w:p>
    <w:p w14:paraId="51DA11E9">
      <w:pPr>
        <w:pStyle w:val="6"/>
        <w:spacing w:line="360" w:lineRule="auto"/>
        <w:ind w:firstLine="480" w:firstLineChars="200"/>
        <w:jc w:val="left"/>
        <w:rPr>
          <w:rFonts w:ascii="宋体" w:hAnsi="宋体"/>
        </w:rPr>
      </w:pPr>
      <w:r>
        <w:rPr>
          <w:rFonts w:hint="eastAsia" w:ascii="宋体" w:hAnsi="宋体"/>
        </w:rPr>
        <w:t>5.</w:t>
      </w:r>
      <w:r>
        <w:rPr>
          <w:rFonts w:ascii="宋体" w:hAnsi="宋体"/>
        </w:rPr>
        <w:t>2</w:t>
      </w:r>
      <w:r>
        <w:rPr>
          <w:rFonts w:hint="eastAsia" w:ascii="宋体" w:hAnsi="宋体"/>
        </w:rPr>
        <w:t xml:space="preserve"> 本项目合同总价为：人民币（大写）</w:t>
      </w:r>
      <w:r>
        <w:rPr>
          <w:rFonts w:hint="eastAsia" w:ascii="宋体" w:hAnsi="宋体"/>
          <w:u w:val="single"/>
        </w:rPr>
        <w:t>     </w:t>
      </w:r>
      <w:r>
        <w:rPr>
          <w:rFonts w:hint="eastAsia" w:ascii="宋体" w:hAnsi="宋体"/>
        </w:rPr>
        <w:t>（小写）¥</w:t>
      </w:r>
      <w:r>
        <w:rPr>
          <w:rFonts w:hint="eastAsia" w:ascii="宋体" w:hAnsi="宋体"/>
          <w:u w:val="single"/>
        </w:rPr>
        <w:t xml:space="preserve">   </w:t>
      </w:r>
      <w:r>
        <w:rPr>
          <w:rFonts w:hint="eastAsia" w:ascii="宋体" w:hAnsi="宋体"/>
        </w:rPr>
        <w:t>元，其中暂列金为</w:t>
      </w:r>
      <w:r>
        <w:rPr>
          <w:rFonts w:ascii="宋体" w:hAnsi="宋体"/>
        </w:rPr>
        <w:t>20</w:t>
      </w:r>
      <w:r>
        <w:rPr>
          <w:rFonts w:hint="eastAsia" w:ascii="宋体" w:hAnsi="宋体"/>
        </w:rPr>
        <w:t>000元，下浮率为</w:t>
      </w:r>
      <w:r>
        <w:rPr>
          <w:rFonts w:hint="eastAsia" w:ascii="宋体" w:hAnsi="宋体"/>
          <w:u w:val="single"/>
        </w:rPr>
        <w:t>    </w:t>
      </w:r>
      <w:r>
        <w:rPr>
          <w:rFonts w:hint="eastAsia" w:ascii="宋体" w:hAnsi="宋体"/>
        </w:rPr>
        <w:t>%。结算以实际完成的工程量进行审核确定。如结算价高于合同总价，按合同总价结算。</w:t>
      </w:r>
    </w:p>
    <w:p w14:paraId="1D733B79">
      <w:pPr>
        <w:pStyle w:val="6"/>
        <w:spacing w:line="360" w:lineRule="auto"/>
        <w:ind w:firstLine="480" w:firstLineChars="200"/>
        <w:jc w:val="left"/>
        <w:rPr>
          <w:rFonts w:ascii="宋体" w:hAnsi="宋体"/>
        </w:rPr>
      </w:pPr>
      <w:r>
        <w:rPr>
          <w:rFonts w:hint="eastAsia" w:ascii="宋体" w:hAnsi="宋体"/>
        </w:rPr>
        <w:t>5.</w:t>
      </w:r>
      <w:r>
        <w:rPr>
          <w:rFonts w:ascii="宋体" w:hAnsi="宋体"/>
        </w:rPr>
        <w:t>3</w:t>
      </w:r>
      <w:r>
        <w:rPr>
          <w:rFonts w:hint="eastAsia" w:ascii="宋体" w:hAnsi="宋体"/>
        </w:rPr>
        <w:t xml:space="preserve"> 付款方式：</w:t>
      </w:r>
    </w:p>
    <w:p w14:paraId="2E423564">
      <w:pPr>
        <w:pStyle w:val="6"/>
        <w:spacing w:line="360" w:lineRule="auto"/>
        <w:ind w:firstLine="480" w:firstLineChars="200"/>
        <w:jc w:val="left"/>
        <w:rPr>
          <w:rFonts w:ascii="宋体" w:hAnsi="宋体"/>
        </w:rPr>
      </w:pPr>
      <w:r>
        <w:rPr>
          <w:rFonts w:hint="eastAsia" w:ascii="宋体" w:hAnsi="宋体"/>
        </w:rPr>
        <w:t>5.</w:t>
      </w:r>
      <w:r>
        <w:rPr>
          <w:rFonts w:ascii="宋体" w:hAnsi="宋体"/>
        </w:rPr>
        <w:t>3</w:t>
      </w:r>
      <w:r>
        <w:rPr>
          <w:rFonts w:hint="eastAsia" w:ascii="宋体" w:hAnsi="宋体"/>
        </w:rPr>
        <w:t>.1 本项目不设预付款。合同生效后，经双方确认乙方完成检测成果文件达到成交价60%的，乙方可申请成交价款50%的进度款，甲方收到乙方付款票据资后15 个工作日内完成审核并办理支付；检测服务全部完成且工程竣工验收后，乙方提交最终成果报告及完整的结算资料，甲方15 个工作日内完成审核，一次性支付检测费余款。</w:t>
      </w:r>
    </w:p>
    <w:p w14:paraId="73F94E78">
      <w:pPr>
        <w:pStyle w:val="6"/>
        <w:spacing w:line="360" w:lineRule="auto"/>
        <w:ind w:firstLine="480" w:firstLineChars="200"/>
        <w:jc w:val="left"/>
        <w:rPr>
          <w:rFonts w:ascii="宋体" w:hAnsi="宋体"/>
        </w:rPr>
      </w:pPr>
      <w:r>
        <w:rPr>
          <w:rFonts w:hint="eastAsia" w:ascii="宋体" w:hAnsi="宋体"/>
        </w:rPr>
        <w:t>5.</w:t>
      </w:r>
      <w:r>
        <w:rPr>
          <w:rFonts w:ascii="宋体" w:hAnsi="宋体"/>
        </w:rPr>
        <w:t>3</w:t>
      </w:r>
      <w:r>
        <w:rPr>
          <w:rFonts w:hint="eastAsia" w:ascii="宋体" w:hAnsi="宋体"/>
        </w:rPr>
        <w:t>.2 如因施工单位原因，导致需复验或增加检测鉴定量的，由乙方向施工单位要求支付。</w:t>
      </w:r>
    </w:p>
    <w:p w14:paraId="7DC62067">
      <w:pPr>
        <w:pStyle w:val="6"/>
        <w:spacing w:line="360" w:lineRule="auto"/>
        <w:ind w:firstLine="480" w:firstLineChars="200"/>
        <w:jc w:val="left"/>
        <w:rPr>
          <w:rFonts w:ascii="宋体" w:hAnsi="宋体"/>
          <w:color w:val="FF0000"/>
        </w:rPr>
      </w:pPr>
      <w:r>
        <w:rPr>
          <w:rFonts w:hint="eastAsia" w:ascii="宋体" w:hAnsi="宋体"/>
        </w:rPr>
        <w:t>5.</w:t>
      </w:r>
      <w:r>
        <w:rPr>
          <w:rFonts w:ascii="宋体" w:hAnsi="宋体"/>
        </w:rPr>
        <w:t>4</w:t>
      </w:r>
      <w:r>
        <w:rPr>
          <w:rFonts w:hint="eastAsia" w:ascii="宋体" w:hAnsi="宋体"/>
        </w:rPr>
        <w:t xml:space="preserve"> 结算原则：</w:t>
      </w:r>
    </w:p>
    <w:p w14:paraId="40CCDC44">
      <w:pPr>
        <w:pStyle w:val="6"/>
        <w:spacing w:line="360" w:lineRule="auto"/>
        <w:ind w:firstLine="480" w:firstLineChars="200"/>
        <w:jc w:val="left"/>
        <w:rPr>
          <w:rFonts w:ascii="宋体" w:hAnsi="宋体"/>
        </w:rPr>
      </w:pPr>
      <w:r>
        <w:rPr>
          <w:rFonts w:hint="eastAsia" w:ascii="宋体" w:hAnsi="宋体"/>
        </w:rPr>
        <w:t>5</w:t>
      </w:r>
      <w:r>
        <w:rPr>
          <w:rFonts w:ascii="宋体" w:hAnsi="宋体"/>
        </w:rPr>
        <w:t>.4.1</w:t>
      </w:r>
      <w:r>
        <w:rPr>
          <w:rFonts w:hint="eastAsia" w:ascii="宋体" w:hAnsi="宋体"/>
        </w:rPr>
        <w:t>《清单报价表》中已有或相类似的检测内容，结算时按《清单报价表》中的综合单价和实际发生的工程量进行结算。</w:t>
      </w:r>
    </w:p>
    <w:p w14:paraId="2DACE991">
      <w:pPr>
        <w:pStyle w:val="6"/>
        <w:spacing w:line="360" w:lineRule="auto"/>
        <w:ind w:firstLine="480" w:firstLineChars="200"/>
        <w:jc w:val="left"/>
        <w:rPr>
          <w:rFonts w:ascii="宋体" w:hAnsi="宋体"/>
        </w:rPr>
      </w:pPr>
      <w:r>
        <w:rPr>
          <w:rFonts w:hint="eastAsia" w:ascii="宋体" w:hAnsi="宋体"/>
        </w:rPr>
        <w:t>5</w:t>
      </w:r>
      <w:r>
        <w:rPr>
          <w:rFonts w:ascii="宋体" w:hAnsi="宋体"/>
        </w:rPr>
        <w:t>.4.2</w:t>
      </w:r>
      <w:r>
        <w:rPr>
          <w:rFonts w:hint="eastAsia" w:ascii="宋体" w:hAnsi="宋体"/>
        </w:rPr>
        <w:t>《清单报价表》以外的检测内容，结算时单价按照“关于印发《广东省房屋建筑和市政工程质量安全检测收费指导价（第一批）》和《广东省既有房屋建筑安全性鉴定收费指导价》的通知”（粤建检协【2015】8号）对应的指导单价（取低值）及下浮率综合计算（结算单价为：收费指导价（取低值）*（1-下浮率）），工程量按实结算。</w:t>
      </w:r>
    </w:p>
    <w:p w14:paraId="0EA351E0">
      <w:pPr>
        <w:pStyle w:val="6"/>
        <w:spacing w:line="360" w:lineRule="auto"/>
        <w:ind w:firstLine="480" w:firstLineChars="200"/>
        <w:jc w:val="left"/>
        <w:rPr>
          <w:rFonts w:ascii="宋体" w:hAnsi="宋体"/>
        </w:rPr>
      </w:pPr>
      <w:r>
        <w:rPr>
          <w:rFonts w:hint="eastAsia" w:ascii="宋体" w:hAnsi="宋体"/>
        </w:rPr>
        <w:t>5</w:t>
      </w:r>
      <w:r>
        <w:rPr>
          <w:rFonts w:ascii="宋体" w:hAnsi="宋体"/>
        </w:rPr>
        <w:t>.4.3</w:t>
      </w:r>
      <w:r>
        <w:rPr>
          <w:rFonts w:hint="eastAsia" w:ascii="宋体" w:hAnsi="宋体"/>
        </w:rPr>
        <w:t>如遇以上文件都不能涵盖的新增检测内容，则结算单价由双方另行协商确定。</w:t>
      </w:r>
    </w:p>
    <w:p w14:paraId="63B38F29">
      <w:pPr>
        <w:pStyle w:val="6"/>
        <w:spacing w:line="360" w:lineRule="auto"/>
        <w:ind w:firstLine="480" w:firstLineChars="200"/>
        <w:jc w:val="left"/>
        <w:rPr>
          <w:rFonts w:ascii="宋体" w:hAnsi="宋体"/>
        </w:rPr>
      </w:pPr>
      <w:r>
        <w:rPr>
          <w:rFonts w:hint="eastAsia" w:ascii="宋体" w:hAnsi="宋体"/>
        </w:rPr>
        <w:t>5</w:t>
      </w:r>
      <w:r>
        <w:rPr>
          <w:rFonts w:ascii="宋体" w:hAnsi="宋体"/>
        </w:rPr>
        <w:t>.4.4</w:t>
      </w:r>
      <w:r>
        <w:rPr>
          <w:rFonts w:hint="eastAsia" w:ascii="宋体" w:hAnsi="宋体"/>
        </w:rPr>
        <w:t>当《清单报价表》内的工程量增加或检测内容调整必须使用暂列金时，可由双方协商一致，并以书面形式确定，增加的总金额不得超过暂列金，若超过暂列金则按暂列金结算。</w:t>
      </w:r>
    </w:p>
    <w:p w14:paraId="0D9DF51F">
      <w:pPr>
        <w:pStyle w:val="6"/>
        <w:spacing w:line="360" w:lineRule="auto"/>
        <w:ind w:firstLine="480" w:firstLineChars="200"/>
        <w:jc w:val="left"/>
        <w:rPr>
          <w:rFonts w:ascii="宋体" w:hAnsi="宋体"/>
        </w:rPr>
      </w:pPr>
    </w:p>
    <w:p w14:paraId="122D11DD">
      <w:pPr>
        <w:pStyle w:val="6"/>
        <w:spacing w:line="360" w:lineRule="auto"/>
        <w:ind w:firstLine="480" w:firstLineChars="200"/>
        <w:jc w:val="left"/>
        <w:rPr>
          <w:rFonts w:ascii="宋体" w:hAnsi="宋体"/>
        </w:rPr>
      </w:pPr>
      <w:r>
        <w:rPr>
          <w:rFonts w:hint="eastAsia" w:ascii="宋体" w:hAnsi="宋体"/>
        </w:rPr>
        <w:t>第六条 本合同有关本项目技术服务内容的变更必须由双方协商一致，并以书面形式确定。一方可以向另一方提出变更合同权利与义务的请求，另一方应当在</w:t>
      </w:r>
      <w:r>
        <w:rPr>
          <w:rFonts w:hint="eastAsia" w:ascii="宋体" w:hAnsi="宋体"/>
          <w:u w:val="single"/>
        </w:rPr>
        <w:t>10个工作日</w:t>
      </w:r>
      <w:r>
        <w:rPr>
          <w:rFonts w:hint="eastAsia" w:ascii="宋体" w:hAnsi="宋体"/>
        </w:rPr>
        <w:t>内予以答复；逾期未予答复的，视为同意。</w:t>
      </w:r>
    </w:p>
    <w:p w14:paraId="7E63FC29">
      <w:pPr>
        <w:pStyle w:val="13"/>
        <w:ind w:firstLine="0" w:firstLineChars="0"/>
      </w:pPr>
    </w:p>
    <w:p w14:paraId="23B35A5A">
      <w:pPr>
        <w:pStyle w:val="6"/>
        <w:spacing w:line="360" w:lineRule="auto"/>
        <w:ind w:firstLine="480" w:firstLineChars="200"/>
        <w:jc w:val="left"/>
        <w:rPr>
          <w:rFonts w:ascii="宋体" w:hAnsi="宋体"/>
        </w:rPr>
      </w:pPr>
      <w:r>
        <w:rPr>
          <w:rFonts w:hint="eastAsia" w:ascii="宋体" w:hAnsi="宋体"/>
        </w:rPr>
        <w:t xml:space="preserve">第七条 </w:t>
      </w:r>
      <w:r>
        <w:rPr>
          <w:rFonts w:hint="eastAsia" w:ascii="宋体" w:hAnsi="宋体" w:cs="宋体"/>
          <w:bCs/>
        </w:rPr>
        <w:t>违约责任及争议的解决</w:t>
      </w:r>
      <w:r>
        <w:rPr>
          <w:rFonts w:hint="eastAsia" w:ascii="宋体" w:hAnsi="宋体"/>
        </w:rPr>
        <w:t>：</w:t>
      </w:r>
    </w:p>
    <w:p w14:paraId="1289C2E9">
      <w:pPr>
        <w:pStyle w:val="6"/>
        <w:spacing w:line="360" w:lineRule="auto"/>
        <w:ind w:firstLine="480" w:firstLineChars="200"/>
        <w:rPr>
          <w:rFonts w:ascii="宋体" w:hAnsi="宋体"/>
        </w:rPr>
      </w:pPr>
      <w:r>
        <w:rPr>
          <w:rFonts w:hint="eastAsia" w:ascii="宋体" w:hAnsi="宋体"/>
        </w:rPr>
        <w:t>7.1乙方进场后，甲方要求解除合同，甲方按照乙方实际完成工程量计付检测鉴定费给乙方。</w:t>
      </w:r>
    </w:p>
    <w:p w14:paraId="6A26501C">
      <w:pPr>
        <w:pStyle w:val="6"/>
        <w:spacing w:line="360" w:lineRule="auto"/>
        <w:ind w:firstLine="480" w:firstLineChars="200"/>
        <w:rPr>
          <w:rFonts w:ascii="宋体" w:hAnsi="宋体"/>
        </w:rPr>
      </w:pPr>
      <w:r>
        <w:rPr>
          <w:rFonts w:hint="eastAsia" w:ascii="宋体" w:hAnsi="宋体"/>
        </w:rPr>
        <w:t>7.2乙方未按照合同约定时间提交检测鉴定报告，每逾期一天应按合同检测鉴定费用的</w:t>
      </w:r>
      <w:r>
        <w:rPr>
          <w:rFonts w:ascii="宋体" w:hAnsi="宋体"/>
        </w:rPr>
        <w:t xml:space="preserve"> </w:t>
      </w:r>
      <w:r>
        <w:rPr>
          <w:rFonts w:hint="eastAsia" w:ascii="宋体" w:hAnsi="宋体"/>
        </w:rPr>
        <w:t>0.2</w:t>
      </w:r>
      <w:r>
        <w:rPr>
          <w:rFonts w:ascii="宋体" w:hAnsi="宋体"/>
        </w:rPr>
        <w:t xml:space="preserve"> %</w:t>
      </w:r>
      <w:r>
        <w:rPr>
          <w:rFonts w:hint="eastAsia" w:ascii="宋体" w:hAnsi="宋体"/>
        </w:rPr>
        <w:t xml:space="preserve">向甲方支付违约金，迟延超过15天的，甲方有权解除合同，并且要求乙方承担本合同检测费用 20 </w:t>
      </w:r>
      <w:r>
        <w:rPr>
          <w:rFonts w:ascii="宋体" w:hAnsi="宋体"/>
        </w:rPr>
        <w:t>%</w:t>
      </w:r>
      <w:r>
        <w:rPr>
          <w:rFonts w:hint="eastAsia" w:ascii="宋体" w:hAnsi="宋体"/>
        </w:rPr>
        <w:t>的违约金。</w:t>
      </w:r>
    </w:p>
    <w:p w14:paraId="559F1CEA">
      <w:pPr>
        <w:pStyle w:val="6"/>
        <w:spacing w:line="360" w:lineRule="auto"/>
        <w:ind w:firstLine="480" w:firstLineChars="200"/>
        <w:rPr>
          <w:rFonts w:ascii="宋体" w:hAnsi="宋体"/>
        </w:rPr>
      </w:pPr>
      <w:r>
        <w:rPr>
          <w:rFonts w:hint="eastAsia" w:ascii="宋体" w:hAnsi="宋体"/>
        </w:rPr>
        <w:t>7.3检测报告信息错误、未按照约定检测依据进行检测或者检测结论判断错误的，乙方应进行更正或免费重新进行检测，给甲方造成损失的应予以赔偿，因甲方原因造成上述错误的除外。</w:t>
      </w:r>
    </w:p>
    <w:p w14:paraId="461C675C">
      <w:pPr>
        <w:pStyle w:val="6"/>
        <w:spacing w:line="360" w:lineRule="auto"/>
        <w:ind w:firstLine="480" w:firstLineChars="200"/>
        <w:rPr>
          <w:rFonts w:ascii="宋体" w:hAnsi="宋体"/>
        </w:rPr>
      </w:pPr>
      <w:r>
        <w:rPr>
          <w:rFonts w:hint="eastAsia" w:ascii="宋体" w:hAnsi="宋体"/>
        </w:rPr>
        <w:t xml:space="preserve">7.4由于乙方的检测鉴定工作不及时或测量资料不准确或分析、报告不及时而导致事故发生，给甲方造成损失的，乙方除赔偿甲方损失外，须向甲方支付本合同检测鉴定费用 20 </w:t>
      </w:r>
      <w:r>
        <w:rPr>
          <w:rFonts w:ascii="宋体" w:hAnsi="宋体"/>
        </w:rPr>
        <w:t>%</w:t>
      </w:r>
      <w:r>
        <w:rPr>
          <w:rFonts w:hint="eastAsia" w:ascii="宋体" w:hAnsi="宋体"/>
        </w:rPr>
        <w:t>的违约金并退回全部检测鉴定费。</w:t>
      </w:r>
    </w:p>
    <w:p w14:paraId="33D7616A">
      <w:pPr>
        <w:pStyle w:val="6"/>
        <w:spacing w:line="360" w:lineRule="auto"/>
        <w:ind w:firstLine="480" w:firstLineChars="200"/>
        <w:rPr>
          <w:rFonts w:ascii="宋体" w:hAnsi="宋体"/>
        </w:rPr>
      </w:pPr>
      <w:r>
        <w:rPr>
          <w:rFonts w:hint="eastAsia" w:ascii="宋体" w:hAnsi="宋体"/>
        </w:rPr>
        <w:t xml:space="preserve">7.5乙方擅自分包或者转包项目的，甲方有权单方解除合同，并要求乙方承担本合同检测鉴定费用20 </w:t>
      </w:r>
      <w:r>
        <w:rPr>
          <w:rFonts w:ascii="宋体" w:hAnsi="宋体"/>
        </w:rPr>
        <w:t>%</w:t>
      </w:r>
      <w:r>
        <w:rPr>
          <w:rFonts w:hint="eastAsia" w:ascii="宋体" w:hAnsi="宋体"/>
        </w:rPr>
        <w:t>的违约金，若因此造成甲方损失还须赔偿相关损失。</w:t>
      </w:r>
    </w:p>
    <w:p w14:paraId="0576045E">
      <w:pPr>
        <w:pStyle w:val="6"/>
        <w:spacing w:line="360" w:lineRule="auto"/>
        <w:ind w:firstLine="480" w:firstLineChars="200"/>
        <w:rPr>
          <w:rFonts w:ascii="宋体" w:hAnsi="宋体"/>
        </w:rPr>
      </w:pPr>
      <w:r>
        <w:rPr>
          <w:rFonts w:hint="eastAsia" w:ascii="宋体" w:hAnsi="宋体"/>
        </w:rPr>
        <w:t xml:space="preserve">7.6发现乙方人员与施工单位串通，对不合格工程出具合格检测鉴定报告或结论，乙方应承担违约责任，甲方有权单方解除合同，并要求乙方承担本合同检测鉴定费用20 </w:t>
      </w:r>
      <w:r>
        <w:rPr>
          <w:rFonts w:ascii="宋体" w:hAnsi="宋体"/>
        </w:rPr>
        <w:t>%</w:t>
      </w:r>
      <w:r>
        <w:rPr>
          <w:rFonts w:hint="eastAsia" w:ascii="宋体" w:hAnsi="宋体"/>
        </w:rPr>
        <w:t>的违约金，若因此造成甲方损失还须赔偿相关损失并退回全部检测鉴定费</w:t>
      </w:r>
    </w:p>
    <w:p w14:paraId="04CA10D9">
      <w:pPr>
        <w:pStyle w:val="6"/>
        <w:spacing w:line="360" w:lineRule="auto"/>
        <w:ind w:firstLine="480" w:firstLineChars="200"/>
        <w:rPr>
          <w:rFonts w:ascii="宋体" w:hAnsi="宋体"/>
        </w:rPr>
      </w:pPr>
      <w:r>
        <w:rPr>
          <w:rFonts w:hint="eastAsia" w:ascii="宋体" w:hAnsi="宋体"/>
        </w:rPr>
        <w:t>7.7本合同发生争议，双方当事人应及时协商解决。协商不成，由当地建设行政主管部门调解，调解不成时，双方当事人同意由广州仲裁委员会仲裁，并由败诉方承担胜诉方所支付的律师费。</w:t>
      </w:r>
    </w:p>
    <w:p w14:paraId="2065E25A">
      <w:pPr>
        <w:pStyle w:val="6"/>
        <w:spacing w:line="360" w:lineRule="auto"/>
        <w:ind w:firstLine="480" w:firstLineChars="200"/>
        <w:jc w:val="left"/>
        <w:rPr>
          <w:rFonts w:ascii="宋体" w:hAnsi="宋体"/>
        </w:rPr>
      </w:pPr>
    </w:p>
    <w:p w14:paraId="0B0F6387">
      <w:pPr>
        <w:pStyle w:val="6"/>
        <w:spacing w:line="360" w:lineRule="auto"/>
        <w:ind w:firstLine="360" w:firstLineChars="150"/>
        <w:jc w:val="left"/>
        <w:rPr>
          <w:rFonts w:ascii="宋体" w:hAnsi="宋体"/>
        </w:rPr>
      </w:pPr>
      <w:r>
        <w:rPr>
          <w:rFonts w:hint="eastAsia" w:ascii="宋体" w:hAnsi="宋体"/>
        </w:rPr>
        <w:t>第八条  双方确定，在本合同有效期内，甲方指定</w:t>
      </w:r>
      <w:r>
        <w:rPr>
          <w:rFonts w:hint="eastAsia" w:ascii="宋体" w:hAnsi="宋体"/>
          <w:u w:val="single"/>
        </w:rPr>
        <w:t xml:space="preserve">   </w:t>
      </w:r>
      <w:r>
        <w:rPr>
          <w:rFonts w:hint="eastAsia" w:ascii="宋体" w:hAnsi="宋体"/>
        </w:rPr>
        <w:t>为甲方项目联系人，联系电话为</w:t>
      </w:r>
      <w:r>
        <w:rPr>
          <w:rFonts w:hint="eastAsia" w:ascii="宋体" w:hAnsi="宋体"/>
          <w:u w:val="single"/>
        </w:rPr>
        <w:t xml:space="preserve">          ；</w:t>
      </w:r>
      <w:r>
        <w:rPr>
          <w:rFonts w:hint="eastAsia" w:ascii="宋体" w:hAnsi="宋体"/>
        </w:rPr>
        <w:t>乙方指定</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为乙方项目负责人，联系电话为</w:t>
      </w:r>
      <w:r>
        <w:rPr>
          <w:rFonts w:hint="eastAsia" w:ascii="宋体" w:hAnsi="宋体"/>
          <w:u w:val="single"/>
        </w:rPr>
        <w:t xml:space="preserve">          </w:t>
      </w:r>
      <w:r>
        <w:rPr>
          <w:rFonts w:hint="eastAsia" w:ascii="宋体" w:hAnsi="宋体"/>
        </w:rPr>
        <w:t>。</w:t>
      </w:r>
    </w:p>
    <w:p w14:paraId="70B6A2CD">
      <w:pPr>
        <w:pStyle w:val="6"/>
        <w:spacing w:line="360" w:lineRule="auto"/>
        <w:ind w:firstLine="480" w:firstLineChars="200"/>
        <w:jc w:val="left"/>
        <w:rPr>
          <w:rFonts w:ascii="宋体" w:hAnsi="宋体"/>
        </w:rPr>
      </w:pPr>
    </w:p>
    <w:p w14:paraId="2689848C">
      <w:pPr>
        <w:pStyle w:val="6"/>
        <w:spacing w:line="360" w:lineRule="auto"/>
        <w:ind w:firstLine="480" w:firstLineChars="200"/>
        <w:jc w:val="left"/>
        <w:rPr>
          <w:rFonts w:ascii="宋体" w:hAnsi="宋体"/>
        </w:rPr>
      </w:pPr>
      <w:r>
        <w:rPr>
          <w:rFonts w:hint="eastAsia" w:ascii="宋体" w:hAnsi="宋体"/>
        </w:rPr>
        <w:t>第九条  双方确定，出现下列情形，致使本合同的履行成为不必要或不可能的，可以解除本合同：</w:t>
      </w:r>
    </w:p>
    <w:p w14:paraId="5154C620">
      <w:pPr>
        <w:pStyle w:val="6"/>
        <w:spacing w:line="360" w:lineRule="auto"/>
        <w:ind w:firstLine="480" w:firstLineChars="200"/>
        <w:jc w:val="left"/>
        <w:rPr>
          <w:rFonts w:ascii="宋体" w:hAnsi="宋体"/>
        </w:rPr>
      </w:pPr>
      <w:r>
        <w:rPr>
          <w:rFonts w:hint="eastAsia" w:ascii="宋体" w:hAnsi="宋体"/>
        </w:rPr>
        <w:t>（1）发生不可抗力；</w:t>
      </w:r>
    </w:p>
    <w:p w14:paraId="14080AA0">
      <w:pPr>
        <w:pStyle w:val="6"/>
        <w:tabs>
          <w:tab w:val="left" w:pos="700"/>
        </w:tabs>
        <w:spacing w:line="360" w:lineRule="auto"/>
        <w:ind w:firstLine="480" w:firstLineChars="200"/>
        <w:jc w:val="left"/>
        <w:rPr>
          <w:rFonts w:ascii="宋体" w:hAnsi="宋体"/>
        </w:rPr>
      </w:pPr>
      <w:r>
        <w:rPr>
          <w:rFonts w:hint="eastAsia" w:ascii="宋体" w:hAnsi="宋体"/>
        </w:rPr>
        <w:t>（2）经双方同意。</w:t>
      </w:r>
    </w:p>
    <w:p w14:paraId="4705B6DC">
      <w:pPr>
        <w:pStyle w:val="6"/>
        <w:tabs>
          <w:tab w:val="left" w:pos="700"/>
        </w:tabs>
        <w:spacing w:line="360" w:lineRule="auto"/>
        <w:ind w:firstLine="480" w:firstLineChars="200"/>
        <w:jc w:val="left"/>
        <w:rPr>
          <w:rFonts w:ascii="宋体" w:hAnsi="宋体"/>
        </w:rPr>
      </w:pPr>
    </w:p>
    <w:p w14:paraId="5CFCDE21">
      <w:pPr>
        <w:pStyle w:val="6"/>
        <w:tabs>
          <w:tab w:val="left" w:pos="700"/>
        </w:tabs>
        <w:spacing w:line="360" w:lineRule="auto"/>
        <w:ind w:firstLine="480" w:firstLineChars="200"/>
        <w:jc w:val="left"/>
        <w:rPr>
          <w:rFonts w:ascii="宋体" w:hAnsi="宋体"/>
        </w:rPr>
      </w:pPr>
      <w:r>
        <w:rPr>
          <w:rFonts w:hint="eastAsia" w:ascii="宋体" w:hAnsi="宋体"/>
          <w:bCs/>
        </w:rPr>
        <w:t xml:space="preserve">第十条 </w:t>
      </w:r>
      <w:r>
        <w:rPr>
          <w:rFonts w:hint="eastAsia" w:ascii="宋体" w:hAnsi="宋体"/>
        </w:rPr>
        <w:t>组成本合同的文件</w:t>
      </w:r>
    </w:p>
    <w:p w14:paraId="79845E4C">
      <w:pPr>
        <w:pStyle w:val="6"/>
        <w:tabs>
          <w:tab w:val="left" w:pos="700"/>
        </w:tabs>
        <w:spacing w:line="360" w:lineRule="auto"/>
        <w:ind w:firstLine="480" w:firstLineChars="200"/>
        <w:jc w:val="left"/>
        <w:rPr>
          <w:rFonts w:ascii="宋体" w:hAnsi="宋体"/>
        </w:rPr>
      </w:pPr>
      <w:r>
        <w:rPr>
          <w:rFonts w:hint="eastAsia" w:ascii="宋体" w:hAnsi="宋体"/>
        </w:rPr>
        <w:t>下列文件应被认为是组成本合同的一部分，并互为补充和解释，如各文件存在冲突之处，以如下排列次序在前者优先适用：</w:t>
      </w:r>
    </w:p>
    <w:p w14:paraId="47E14984">
      <w:pPr>
        <w:pStyle w:val="6"/>
        <w:tabs>
          <w:tab w:val="left" w:pos="700"/>
        </w:tabs>
        <w:spacing w:line="360" w:lineRule="auto"/>
        <w:ind w:firstLine="480" w:firstLineChars="200"/>
        <w:jc w:val="left"/>
        <w:rPr>
          <w:rFonts w:ascii="宋体" w:hAnsi="宋体"/>
        </w:rPr>
      </w:pPr>
      <w:r>
        <w:rPr>
          <w:rFonts w:hint="eastAsia" w:ascii="宋体" w:hAnsi="宋体"/>
        </w:rPr>
        <w:t>（一）本合同履行期间签订的补充合同（协议）或修正文件；</w:t>
      </w:r>
    </w:p>
    <w:p w14:paraId="667E4B1B">
      <w:pPr>
        <w:pStyle w:val="6"/>
        <w:tabs>
          <w:tab w:val="left" w:pos="700"/>
        </w:tabs>
        <w:spacing w:line="360" w:lineRule="auto"/>
        <w:ind w:firstLine="480" w:firstLineChars="200"/>
        <w:jc w:val="left"/>
        <w:rPr>
          <w:rFonts w:ascii="宋体" w:hAnsi="宋体"/>
        </w:rPr>
      </w:pPr>
      <w:r>
        <w:rPr>
          <w:rFonts w:hint="eastAsia" w:ascii="宋体" w:hAnsi="宋体"/>
        </w:rPr>
        <w:t>（二）本合同书；</w:t>
      </w:r>
    </w:p>
    <w:p w14:paraId="1F1C9371">
      <w:pPr>
        <w:pStyle w:val="6"/>
        <w:tabs>
          <w:tab w:val="left" w:pos="700"/>
        </w:tabs>
        <w:spacing w:line="360" w:lineRule="auto"/>
        <w:ind w:firstLine="480" w:firstLineChars="200"/>
        <w:jc w:val="left"/>
        <w:rPr>
          <w:rFonts w:ascii="宋体" w:hAnsi="宋体"/>
        </w:rPr>
      </w:pPr>
      <w:r>
        <w:rPr>
          <w:rFonts w:hint="eastAsia" w:ascii="宋体" w:hAnsi="宋体"/>
        </w:rPr>
        <w:t>（三）合同附件；</w:t>
      </w:r>
    </w:p>
    <w:p w14:paraId="4E56B1F9">
      <w:pPr>
        <w:pStyle w:val="6"/>
        <w:tabs>
          <w:tab w:val="left" w:pos="700"/>
        </w:tabs>
        <w:spacing w:line="360" w:lineRule="auto"/>
        <w:ind w:firstLine="480" w:firstLineChars="200"/>
        <w:jc w:val="left"/>
        <w:rPr>
          <w:rFonts w:ascii="宋体" w:hAnsi="宋体"/>
        </w:rPr>
      </w:pPr>
      <w:r>
        <w:rPr>
          <w:rFonts w:hint="eastAsia" w:ascii="宋体" w:hAnsi="宋体"/>
        </w:rPr>
        <w:t>（四）采购文件及附件；</w:t>
      </w:r>
    </w:p>
    <w:p w14:paraId="018E4510">
      <w:pPr>
        <w:pStyle w:val="6"/>
        <w:tabs>
          <w:tab w:val="left" w:pos="700"/>
        </w:tabs>
        <w:spacing w:line="360" w:lineRule="auto"/>
        <w:ind w:firstLine="480" w:firstLineChars="200"/>
        <w:jc w:val="left"/>
        <w:rPr>
          <w:rFonts w:ascii="宋体" w:hAnsi="宋体"/>
        </w:rPr>
      </w:pPr>
      <w:r>
        <w:rPr>
          <w:rFonts w:hint="eastAsia" w:ascii="宋体" w:hAnsi="宋体"/>
        </w:rPr>
        <w:t>（五）乙方报价文件及其附件；</w:t>
      </w:r>
    </w:p>
    <w:p w14:paraId="69518372">
      <w:pPr>
        <w:pStyle w:val="6"/>
        <w:tabs>
          <w:tab w:val="left" w:pos="700"/>
        </w:tabs>
        <w:spacing w:line="360" w:lineRule="auto"/>
        <w:ind w:firstLine="480" w:firstLineChars="200"/>
        <w:jc w:val="left"/>
        <w:rPr>
          <w:rFonts w:ascii="宋体" w:hAnsi="宋体"/>
        </w:rPr>
      </w:pPr>
      <w:r>
        <w:rPr>
          <w:rFonts w:hint="eastAsia" w:ascii="宋体" w:hAnsi="宋体"/>
        </w:rPr>
        <w:t>（六）国家及广东省、广州市的标准、规范及有关技术文件；</w:t>
      </w:r>
    </w:p>
    <w:p w14:paraId="754CEF0B">
      <w:pPr>
        <w:pStyle w:val="6"/>
        <w:tabs>
          <w:tab w:val="left" w:pos="700"/>
        </w:tabs>
        <w:spacing w:line="360" w:lineRule="auto"/>
        <w:ind w:firstLine="480" w:firstLineChars="200"/>
        <w:jc w:val="left"/>
        <w:rPr>
          <w:rFonts w:ascii="宋体" w:hAnsi="宋体"/>
        </w:rPr>
      </w:pPr>
      <w:r>
        <w:rPr>
          <w:rFonts w:hint="eastAsia" w:ascii="宋体" w:hAnsi="宋体"/>
        </w:rPr>
        <w:t>（七）组成合同的其他文件。</w:t>
      </w:r>
    </w:p>
    <w:p w14:paraId="6986701A">
      <w:pPr>
        <w:pStyle w:val="6"/>
        <w:tabs>
          <w:tab w:val="left" w:pos="700"/>
        </w:tabs>
        <w:spacing w:line="360" w:lineRule="auto"/>
        <w:ind w:firstLine="480" w:firstLineChars="200"/>
        <w:jc w:val="left"/>
        <w:rPr>
          <w:rFonts w:ascii="宋体" w:hAnsi="宋体"/>
        </w:rPr>
      </w:pPr>
    </w:p>
    <w:p w14:paraId="5B98299D">
      <w:pPr>
        <w:pStyle w:val="6"/>
        <w:spacing w:line="360" w:lineRule="auto"/>
        <w:ind w:firstLine="480" w:firstLineChars="200"/>
        <w:jc w:val="left"/>
        <w:rPr>
          <w:rFonts w:ascii="宋体" w:hAnsi="宋体"/>
        </w:rPr>
      </w:pPr>
      <w:r>
        <w:rPr>
          <w:rFonts w:hint="eastAsia" w:ascii="宋体" w:hAnsi="宋体"/>
        </w:rPr>
        <w:t>第十一条  双方约定本合同其他相关事项为：</w:t>
      </w:r>
    </w:p>
    <w:p w14:paraId="09064813">
      <w:pPr>
        <w:spacing w:line="360" w:lineRule="auto"/>
        <w:ind w:firstLine="480" w:firstLineChars="200"/>
        <w:rPr>
          <w:rFonts w:ascii="宋体" w:hAnsi="宋体"/>
          <w:sz w:val="24"/>
        </w:rPr>
      </w:pPr>
      <w:r>
        <w:rPr>
          <w:rFonts w:hint="eastAsia" w:ascii="宋体" w:hAnsi="宋体"/>
          <w:sz w:val="24"/>
        </w:rPr>
        <w:t>11.1合同一式</w:t>
      </w:r>
      <w:r>
        <w:rPr>
          <w:rFonts w:hint="eastAsia" w:ascii="宋体" w:hAnsi="宋体"/>
          <w:sz w:val="24"/>
          <w:u w:val="single"/>
        </w:rPr>
        <w:t>陆</w:t>
      </w:r>
      <w:r>
        <w:rPr>
          <w:rFonts w:hint="eastAsia" w:ascii="宋体" w:hAnsi="宋体"/>
          <w:sz w:val="24"/>
        </w:rPr>
        <w:t>份，甲方执肆份，乙方执贰份，在双方签字盖章后生效。</w:t>
      </w:r>
    </w:p>
    <w:p w14:paraId="26E5A913">
      <w:pPr>
        <w:spacing w:line="360" w:lineRule="auto"/>
        <w:ind w:firstLine="480" w:firstLineChars="200"/>
        <w:rPr>
          <w:rFonts w:ascii="宋体" w:hAnsi="宋体"/>
          <w:sz w:val="24"/>
        </w:rPr>
      </w:pPr>
      <w:r>
        <w:rPr>
          <w:rFonts w:hint="eastAsia" w:ascii="宋体" w:hAnsi="宋体"/>
          <w:sz w:val="24"/>
        </w:rPr>
        <w:t>11.2本合同未尽事宜，由双方协商签订补充协议。</w:t>
      </w:r>
    </w:p>
    <w:p w14:paraId="1DE84156">
      <w:pPr>
        <w:spacing w:line="360" w:lineRule="auto"/>
        <w:ind w:firstLine="480" w:firstLineChars="200"/>
        <w:rPr>
          <w:rFonts w:ascii="宋体" w:hAnsi="宋体"/>
          <w:sz w:val="24"/>
        </w:rPr>
      </w:pPr>
      <w:r>
        <w:rPr>
          <w:rFonts w:hint="eastAsia" w:ascii="宋体" w:hAnsi="宋体"/>
          <w:sz w:val="24"/>
        </w:rPr>
        <w:t>11.3本合同经双方签字盖章后生效。双方履行完合同的义务并结算清全部检测鉴定费用后，本合同即终止。</w:t>
      </w:r>
    </w:p>
    <w:p w14:paraId="0AD7634C">
      <w:pPr>
        <w:spacing w:line="360" w:lineRule="auto"/>
        <w:ind w:firstLine="480" w:firstLineChars="200"/>
        <w:rPr>
          <w:rFonts w:ascii="宋体" w:hAnsi="宋体"/>
          <w:sz w:val="24"/>
        </w:rPr>
      </w:pPr>
      <w:r>
        <w:rPr>
          <w:rFonts w:hint="eastAsia" w:ascii="宋体" w:hAnsi="宋体"/>
          <w:sz w:val="24"/>
        </w:rPr>
        <w:t>以下无正文</w:t>
      </w:r>
    </w:p>
    <w:p w14:paraId="3E708E65">
      <w:pPr>
        <w:pStyle w:val="12"/>
        <w:spacing w:before="0" w:beforeAutospacing="0" w:after="0" w:afterAutospacing="0" w:line="15" w:lineRule="atLeast"/>
        <w:rPr>
          <w:color w:val="000000"/>
          <w:sz w:val="23"/>
          <w:szCs w:val="23"/>
        </w:rPr>
      </w:pPr>
    </w:p>
    <w:p w14:paraId="662F2D89">
      <w:pPr>
        <w:pStyle w:val="12"/>
        <w:spacing w:before="0" w:beforeAutospacing="0" w:after="0" w:afterAutospacing="0" w:line="15" w:lineRule="atLeast"/>
        <w:rPr>
          <w:color w:val="000000"/>
          <w:sz w:val="23"/>
          <w:szCs w:val="23"/>
        </w:rPr>
      </w:pPr>
    </w:p>
    <w:p w14:paraId="13A94862">
      <w:pPr>
        <w:pStyle w:val="12"/>
        <w:spacing w:before="0" w:beforeAutospacing="0" w:after="0" w:afterAutospacing="0" w:line="15" w:lineRule="atLeast"/>
        <w:rPr>
          <w:color w:val="000000"/>
          <w:sz w:val="23"/>
          <w:szCs w:val="23"/>
        </w:rPr>
      </w:pPr>
    </w:p>
    <w:p w14:paraId="26D963A4">
      <w:pPr>
        <w:pStyle w:val="12"/>
        <w:spacing w:before="0" w:beforeAutospacing="0" w:after="0" w:afterAutospacing="0" w:line="15" w:lineRule="atLeast"/>
        <w:rPr>
          <w:rFonts w:hint="eastAsia"/>
          <w:color w:val="000000"/>
          <w:sz w:val="23"/>
          <w:szCs w:val="23"/>
        </w:rPr>
      </w:pPr>
    </w:p>
    <w:p w14:paraId="7DB1CD4E">
      <w:pPr>
        <w:pStyle w:val="12"/>
        <w:spacing w:before="0" w:beforeAutospacing="0" w:after="0" w:afterAutospacing="0" w:line="480" w:lineRule="auto"/>
      </w:pPr>
      <w:r>
        <w:rPr>
          <w:rFonts w:hint="eastAsia"/>
          <w:color w:val="000000"/>
          <w:sz w:val="23"/>
          <w:szCs w:val="23"/>
        </w:rPr>
        <w:t>委托单位（甲方）：广州大学    </w:t>
      </w:r>
      <w:r>
        <w:rPr>
          <w:color w:val="000000"/>
          <w:sz w:val="23"/>
          <w:szCs w:val="23"/>
        </w:rPr>
        <w:t xml:space="preserve"> </w:t>
      </w:r>
      <w:r>
        <w:rPr>
          <w:rFonts w:hint="eastAsia"/>
          <w:color w:val="000000"/>
          <w:sz w:val="23"/>
          <w:szCs w:val="23"/>
        </w:rPr>
        <w:t>     </w:t>
      </w:r>
      <w:r>
        <w:rPr>
          <w:color w:val="000000"/>
          <w:sz w:val="23"/>
          <w:szCs w:val="23"/>
        </w:rPr>
        <w:t xml:space="preserve"> </w:t>
      </w:r>
      <w:r>
        <w:rPr>
          <w:rFonts w:hint="eastAsia"/>
          <w:color w:val="000000"/>
          <w:sz w:val="23"/>
          <w:szCs w:val="23"/>
        </w:rPr>
        <w:t> </w:t>
      </w:r>
      <w:r>
        <w:rPr>
          <w:color w:val="000000"/>
          <w:sz w:val="23"/>
          <w:szCs w:val="23"/>
        </w:rPr>
        <w:t xml:space="preserve"> </w:t>
      </w:r>
      <w:r>
        <w:rPr>
          <w:rFonts w:hint="eastAsia"/>
          <w:color w:val="000000"/>
          <w:sz w:val="23"/>
          <w:szCs w:val="23"/>
        </w:rPr>
        <w:t xml:space="preserve">受托单位（乙方）：  </w:t>
      </w:r>
    </w:p>
    <w:p w14:paraId="3E4590ED">
      <w:pPr>
        <w:pStyle w:val="12"/>
        <w:spacing w:before="0" w:beforeAutospacing="0" w:after="0" w:afterAutospacing="0" w:line="480" w:lineRule="auto"/>
        <w:rPr>
          <w:color w:val="000000"/>
          <w:sz w:val="23"/>
          <w:szCs w:val="23"/>
        </w:rPr>
      </w:pPr>
      <w:r>
        <w:rPr>
          <w:rFonts w:hint="eastAsia"/>
          <w:color w:val="000000"/>
          <w:sz w:val="23"/>
          <w:szCs w:val="23"/>
        </w:rPr>
        <w:t>地址：广州市番禺区大学城外环西路230号</w:t>
      </w:r>
      <w:r>
        <w:rPr>
          <w:color w:val="000000"/>
          <w:sz w:val="23"/>
          <w:szCs w:val="23"/>
        </w:rPr>
        <w:t xml:space="preserve"> </w:t>
      </w:r>
      <w:r>
        <w:rPr>
          <w:rFonts w:hint="eastAsia"/>
          <w:color w:val="000000"/>
          <w:sz w:val="23"/>
          <w:szCs w:val="23"/>
        </w:rPr>
        <w:t xml:space="preserve">          地址：</w:t>
      </w:r>
    </w:p>
    <w:p w14:paraId="2BA0C851">
      <w:pPr>
        <w:pStyle w:val="12"/>
        <w:spacing w:before="0" w:beforeAutospacing="0" w:after="0" w:afterAutospacing="0" w:line="480" w:lineRule="auto"/>
        <w:rPr>
          <w:color w:val="000000"/>
          <w:sz w:val="23"/>
          <w:szCs w:val="23"/>
        </w:rPr>
      </w:pPr>
      <w:r>
        <w:rPr>
          <w:rFonts w:hint="eastAsia"/>
          <w:color w:val="000000"/>
          <w:sz w:val="23"/>
          <w:szCs w:val="23"/>
        </w:rPr>
        <w:t xml:space="preserve">法定代表人：                   法定代表人： </w:t>
      </w:r>
    </w:p>
    <w:p w14:paraId="2779E3CE">
      <w:pPr>
        <w:pStyle w:val="12"/>
        <w:spacing w:before="0" w:beforeAutospacing="0" w:after="0" w:afterAutospacing="0" w:line="480" w:lineRule="auto"/>
        <w:rPr>
          <w:color w:val="000000"/>
          <w:sz w:val="23"/>
          <w:szCs w:val="23"/>
        </w:rPr>
      </w:pPr>
      <w:r>
        <w:rPr>
          <w:rFonts w:hint="eastAsia"/>
          <w:color w:val="000000"/>
          <w:sz w:val="23"/>
          <w:szCs w:val="23"/>
        </w:rPr>
        <w:t xml:space="preserve">委托代理人：                   委托代理人： </w:t>
      </w:r>
    </w:p>
    <w:p w14:paraId="6A0519BC">
      <w:pPr>
        <w:pStyle w:val="12"/>
        <w:spacing w:before="0" w:beforeAutospacing="0" w:after="0" w:afterAutospacing="0" w:line="480" w:lineRule="auto"/>
        <w:rPr>
          <w:color w:val="000000"/>
          <w:sz w:val="23"/>
          <w:szCs w:val="23"/>
        </w:rPr>
      </w:pPr>
      <w:r>
        <w:rPr>
          <w:rFonts w:hint="eastAsia"/>
          <w:color w:val="000000"/>
          <w:sz w:val="23"/>
          <w:szCs w:val="23"/>
        </w:rPr>
        <w:t>经办人：                     经办人：</w:t>
      </w:r>
    </w:p>
    <w:p w14:paraId="4193BF90">
      <w:pPr>
        <w:pStyle w:val="12"/>
        <w:spacing w:before="0" w:beforeAutospacing="0" w:after="0" w:afterAutospacing="0" w:line="480" w:lineRule="auto"/>
        <w:rPr>
          <w:color w:val="000000"/>
          <w:sz w:val="23"/>
          <w:szCs w:val="23"/>
        </w:rPr>
      </w:pPr>
      <w:r>
        <w:rPr>
          <w:rFonts w:hint="eastAsia"/>
          <w:color w:val="000000"/>
          <w:sz w:val="23"/>
          <w:szCs w:val="23"/>
        </w:rPr>
        <w:t xml:space="preserve">电话：020-39366175                电 话： </w:t>
      </w:r>
    </w:p>
    <w:p w14:paraId="435E283E">
      <w:pPr>
        <w:pStyle w:val="12"/>
        <w:spacing w:before="0" w:beforeAutospacing="0" w:after="0" w:afterAutospacing="0" w:line="480" w:lineRule="auto"/>
        <w:rPr>
          <w:color w:val="000000"/>
          <w:sz w:val="23"/>
          <w:szCs w:val="23"/>
        </w:rPr>
      </w:pPr>
      <w:r>
        <w:rPr>
          <w:rFonts w:hint="eastAsia"/>
          <w:color w:val="000000"/>
          <w:sz w:val="23"/>
          <w:szCs w:val="23"/>
        </w:rPr>
        <w:t>开户银行：工商银行广州大学城中环支行         开户银行：</w:t>
      </w:r>
    </w:p>
    <w:p w14:paraId="73728118">
      <w:pPr>
        <w:pStyle w:val="12"/>
        <w:spacing w:before="0" w:beforeAutospacing="0" w:after="0" w:afterAutospacing="0" w:line="480" w:lineRule="auto"/>
        <w:rPr>
          <w:color w:val="000000"/>
          <w:sz w:val="23"/>
          <w:szCs w:val="23"/>
        </w:rPr>
      </w:pPr>
      <w:r>
        <w:rPr>
          <w:rFonts w:hint="eastAsia"/>
          <w:color w:val="000000"/>
          <w:sz w:val="23"/>
          <w:szCs w:val="23"/>
        </w:rPr>
        <w:t>帐 号：3602 1148 1910 000 0192      </w:t>
      </w:r>
      <w:r>
        <w:rPr>
          <w:color w:val="000000"/>
          <w:sz w:val="23"/>
          <w:szCs w:val="23"/>
        </w:rPr>
        <w:t xml:space="preserve">    </w:t>
      </w:r>
      <w:r>
        <w:rPr>
          <w:rFonts w:hint="eastAsia"/>
          <w:color w:val="000000"/>
          <w:sz w:val="23"/>
          <w:szCs w:val="23"/>
        </w:rPr>
        <w:t xml:space="preserve">  帐 号：   </w:t>
      </w:r>
    </w:p>
    <w:p w14:paraId="07E759F7">
      <w:pPr>
        <w:pStyle w:val="12"/>
        <w:spacing w:before="0" w:beforeAutospacing="0" w:after="0" w:afterAutospacing="0" w:line="480" w:lineRule="auto"/>
        <w:rPr>
          <w:color w:val="000000"/>
          <w:sz w:val="23"/>
          <w:szCs w:val="23"/>
        </w:rPr>
      </w:pPr>
      <w:r>
        <w:rPr>
          <w:rFonts w:hint="eastAsia"/>
          <w:color w:val="000000"/>
          <w:sz w:val="23"/>
          <w:szCs w:val="23"/>
        </w:rPr>
        <w:t>邮政编码：510006              </w:t>
      </w:r>
      <w:r>
        <w:rPr>
          <w:color w:val="000000"/>
          <w:sz w:val="23"/>
          <w:szCs w:val="23"/>
        </w:rPr>
        <w:t xml:space="preserve">      </w:t>
      </w:r>
      <w:r>
        <w:rPr>
          <w:rFonts w:hint="eastAsia"/>
          <w:color w:val="000000"/>
          <w:sz w:val="23"/>
          <w:szCs w:val="23"/>
        </w:rPr>
        <w:t xml:space="preserve">邮政编码：  </w:t>
      </w:r>
    </w:p>
    <w:p w14:paraId="475CFC5B">
      <w:pPr>
        <w:pStyle w:val="12"/>
        <w:spacing w:before="0" w:beforeAutospacing="0" w:after="0" w:afterAutospacing="0" w:line="480" w:lineRule="auto"/>
        <w:rPr>
          <w:rFonts w:hint="eastAsia" w:hAnsi="宋体" w:cs="Courier New" w:asciiTheme="minorHAnsi" w:eastAsiaTheme="minorEastAsia"/>
          <w:b/>
          <w:kern w:val="0"/>
          <w:sz w:val="28"/>
          <w:szCs w:val="28"/>
          <w:lang w:val="en-US" w:eastAsia="zh-CN" w:bidi="ar-SA"/>
        </w:rPr>
      </w:pPr>
      <w:r>
        <w:rPr>
          <w:rFonts w:hint="eastAsia"/>
          <w:color w:val="000000"/>
          <w:sz w:val="23"/>
          <w:szCs w:val="23"/>
        </w:rPr>
        <w:t>签订日期：</w:t>
      </w:r>
      <w:r>
        <w:rPr>
          <w:color w:val="000000"/>
          <w:sz w:val="23"/>
          <w:szCs w:val="23"/>
        </w:rPr>
        <w:t xml:space="preserve">  </w:t>
      </w:r>
      <w:r>
        <w:rPr>
          <w:rFonts w:hint="eastAsia"/>
          <w:color w:val="000000"/>
          <w:sz w:val="23"/>
          <w:szCs w:val="23"/>
        </w:rPr>
        <w:t xml:space="preserve"> 年  月  日        </w:t>
      </w:r>
      <w:r>
        <w:rPr>
          <w:color w:val="000000"/>
          <w:sz w:val="23"/>
          <w:szCs w:val="23"/>
        </w:rPr>
        <w:t xml:space="preserve">      </w:t>
      </w:r>
      <w:r>
        <w:rPr>
          <w:rFonts w:hint="eastAsia"/>
          <w:color w:val="000000"/>
          <w:sz w:val="23"/>
          <w:szCs w:val="23"/>
        </w:rPr>
        <w:t> 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55B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DC2D43">
                          <w:pPr>
                            <w:pStyle w:val="10"/>
                          </w:pPr>
                          <w:r>
                            <w:rPr>
                              <w:rFonts w:hint="eastAsia"/>
                            </w:rPr>
                            <w:t>第</w:t>
                          </w:r>
                          <w:r>
                            <w:fldChar w:fldCharType="begin"/>
                          </w:r>
                          <w:r>
                            <w:instrText xml:space="preserve"> PAGE  \* MERGEFORMAT </w:instrText>
                          </w:r>
                          <w:r>
                            <w:fldChar w:fldCharType="separate"/>
                          </w:r>
                          <w:r>
                            <w:t>12</w:t>
                          </w:r>
                          <w:r>
                            <w:fldChar w:fldCharType="end"/>
                          </w:r>
                          <w:r>
                            <w:rPr>
                              <w:rFonts w:hint="eastAsia"/>
                            </w:rPr>
                            <w:t>页共</w:t>
                          </w:r>
                          <w:r>
                            <w:fldChar w:fldCharType="begin"/>
                          </w:r>
                          <w:r>
                            <w:instrText xml:space="preserve"> NUMPAGES  \* MERGEFORMAT </w:instrText>
                          </w:r>
                          <w:r>
                            <w:fldChar w:fldCharType="separate"/>
                          </w:r>
                          <w:r>
                            <w:t>12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14DC2D43">
                    <w:pPr>
                      <w:pStyle w:val="10"/>
                    </w:pPr>
                    <w:r>
                      <w:rPr>
                        <w:rFonts w:hint="eastAsia"/>
                      </w:rPr>
                      <w:t>第</w:t>
                    </w:r>
                    <w:r>
                      <w:fldChar w:fldCharType="begin"/>
                    </w:r>
                    <w:r>
                      <w:instrText xml:space="preserve"> PAGE  \* MERGEFORMAT </w:instrText>
                    </w:r>
                    <w:r>
                      <w:fldChar w:fldCharType="separate"/>
                    </w:r>
                    <w:r>
                      <w:t>12</w:t>
                    </w:r>
                    <w:r>
                      <w:fldChar w:fldCharType="end"/>
                    </w:r>
                    <w:r>
                      <w:rPr>
                        <w:rFonts w:hint="eastAsia"/>
                      </w:rPr>
                      <w:t>页共</w:t>
                    </w:r>
                    <w:r>
                      <w:fldChar w:fldCharType="begin"/>
                    </w:r>
                    <w:r>
                      <w:instrText xml:space="preserve"> NUMPAGES  \* MERGEFORMAT </w:instrText>
                    </w:r>
                    <w:r>
                      <w:fldChar w:fldCharType="separate"/>
                    </w:r>
                    <w:r>
                      <w:t>12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21E9">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6749B"/>
    <w:multiLevelType w:val="multilevel"/>
    <w:tmpl w:val="0E26749B"/>
    <w:lvl w:ilvl="0" w:tentative="0">
      <w:start w:val="1"/>
      <w:numFmt w:val="decimal"/>
      <w:lvlText w:val="%1、"/>
      <w:lvlJc w:val="left"/>
      <w:pPr>
        <w:ind w:left="360" w:hanging="360"/>
      </w:pPr>
      <w:rPr>
        <w:rFonts w:hint="default"/>
        <w:b w:val="0"/>
        <w:sz w:val="21"/>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
    <w:nsid w:val="136B3120"/>
    <w:multiLevelType w:val="multilevel"/>
    <w:tmpl w:val="136B312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28"/>
    <w:rsid w:val="00000AAF"/>
    <w:rsid w:val="00014031"/>
    <w:rsid w:val="00017CF1"/>
    <w:rsid w:val="00061F3C"/>
    <w:rsid w:val="00067350"/>
    <w:rsid w:val="00085D95"/>
    <w:rsid w:val="0009642E"/>
    <w:rsid w:val="000B6FE4"/>
    <w:rsid w:val="000B7B0C"/>
    <w:rsid w:val="00101162"/>
    <w:rsid w:val="00107187"/>
    <w:rsid w:val="00110E6F"/>
    <w:rsid w:val="00145E38"/>
    <w:rsid w:val="00171AF6"/>
    <w:rsid w:val="00182F7E"/>
    <w:rsid w:val="001C2887"/>
    <w:rsid w:val="001C29E9"/>
    <w:rsid w:val="001E6686"/>
    <w:rsid w:val="001F7A9D"/>
    <w:rsid w:val="002027E0"/>
    <w:rsid w:val="00212EDA"/>
    <w:rsid w:val="00213CCD"/>
    <w:rsid w:val="002476F7"/>
    <w:rsid w:val="00267D94"/>
    <w:rsid w:val="00274D37"/>
    <w:rsid w:val="002A2F83"/>
    <w:rsid w:val="002B05FD"/>
    <w:rsid w:val="002B5574"/>
    <w:rsid w:val="002D3F85"/>
    <w:rsid w:val="002E6213"/>
    <w:rsid w:val="002F5C9E"/>
    <w:rsid w:val="003411DF"/>
    <w:rsid w:val="00386B60"/>
    <w:rsid w:val="003A3E40"/>
    <w:rsid w:val="003A4282"/>
    <w:rsid w:val="003B2E4F"/>
    <w:rsid w:val="003C1A07"/>
    <w:rsid w:val="003C580F"/>
    <w:rsid w:val="003D23E6"/>
    <w:rsid w:val="003E28C9"/>
    <w:rsid w:val="003E2C1D"/>
    <w:rsid w:val="003F0CA9"/>
    <w:rsid w:val="003F39DC"/>
    <w:rsid w:val="003F6692"/>
    <w:rsid w:val="003F66D5"/>
    <w:rsid w:val="0040128F"/>
    <w:rsid w:val="00405998"/>
    <w:rsid w:val="00412399"/>
    <w:rsid w:val="004364B8"/>
    <w:rsid w:val="004441F7"/>
    <w:rsid w:val="00455FE2"/>
    <w:rsid w:val="00460FBB"/>
    <w:rsid w:val="00471086"/>
    <w:rsid w:val="00472882"/>
    <w:rsid w:val="00482E82"/>
    <w:rsid w:val="00490D7C"/>
    <w:rsid w:val="00496CE7"/>
    <w:rsid w:val="004B1FC6"/>
    <w:rsid w:val="004C3219"/>
    <w:rsid w:val="004C5DBA"/>
    <w:rsid w:val="004D2F93"/>
    <w:rsid w:val="004E2DD4"/>
    <w:rsid w:val="00500492"/>
    <w:rsid w:val="00504C97"/>
    <w:rsid w:val="00511967"/>
    <w:rsid w:val="00512254"/>
    <w:rsid w:val="00533CF8"/>
    <w:rsid w:val="00571724"/>
    <w:rsid w:val="00571D40"/>
    <w:rsid w:val="005944F6"/>
    <w:rsid w:val="005B415F"/>
    <w:rsid w:val="005D4CDB"/>
    <w:rsid w:val="005E74AF"/>
    <w:rsid w:val="005F4BB3"/>
    <w:rsid w:val="00625150"/>
    <w:rsid w:val="00632C70"/>
    <w:rsid w:val="006401BD"/>
    <w:rsid w:val="006402BC"/>
    <w:rsid w:val="0065313B"/>
    <w:rsid w:val="00657752"/>
    <w:rsid w:val="006918A9"/>
    <w:rsid w:val="006A1DF4"/>
    <w:rsid w:val="006B0BC3"/>
    <w:rsid w:val="006D408B"/>
    <w:rsid w:val="006F3EDB"/>
    <w:rsid w:val="007005F6"/>
    <w:rsid w:val="00703AB6"/>
    <w:rsid w:val="00711EC9"/>
    <w:rsid w:val="00730110"/>
    <w:rsid w:val="007344CD"/>
    <w:rsid w:val="00740C22"/>
    <w:rsid w:val="007470A3"/>
    <w:rsid w:val="007647A5"/>
    <w:rsid w:val="00776C3A"/>
    <w:rsid w:val="007A1A93"/>
    <w:rsid w:val="007B5CAC"/>
    <w:rsid w:val="007C79CA"/>
    <w:rsid w:val="007E1A28"/>
    <w:rsid w:val="007E7D07"/>
    <w:rsid w:val="008236A2"/>
    <w:rsid w:val="00837D7E"/>
    <w:rsid w:val="008449BB"/>
    <w:rsid w:val="0084617D"/>
    <w:rsid w:val="008506CE"/>
    <w:rsid w:val="00865BF1"/>
    <w:rsid w:val="00877EEC"/>
    <w:rsid w:val="008A054E"/>
    <w:rsid w:val="008B2859"/>
    <w:rsid w:val="008C1F26"/>
    <w:rsid w:val="008E0146"/>
    <w:rsid w:val="008F3B30"/>
    <w:rsid w:val="009029DE"/>
    <w:rsid w:val="0090743D"/>
    <w:rsid w:val="0094434B"/>
    <w:rsid w:val="009505A6"/>
    <w:rsid w:val="0095272F"/>
    <w:rsid w:val="00956B24"/>
    <w:rsid w:val="00990F6D"/>
    <w:rsid w:val="009A6492"/>
    <w:rsid w:val="009A76D8"/>
    <w:rsid w:val="009C259B"/>
    <w:rsid w:val="009E0552"/>
    <w:rsid w:val="009E7AE9"/>
    <w:rsid w:val="009E7EEC"/>
    <w:rsid w:val="009F5D9D"/>
    <w:rsid w:val="00A14929"/>
    <w:rsid w:val="00A15FE6"/>
    <w:rsid w:val="00A47A2F"/>
    <w:rsid w:val="00A47B17"/>
    <w:rsid w:val="00A562C1"/>
    <w:rsid w:val="00A6136F"/>
    <w:rsid w:val="00A84EF2"/>
    <w:rsid w:val="00A90E22"/>
    <w:rsid w:val="00AC28AC"/>
    <w:rsid w:val="00AC5A98"/>
    <w:rsid w:val="00AD6183"/>
    <w:rsid w:val="00AE1C95"/>
    <w:rsid w:val="00AE240D"/>
    <w:rsid w:val="00AF2487"/>
    <w:rsid w:val="00B046A7"/>
    <w:rsid w:val="00B04E92"/>
    <w:rsid w:val="00B302FC"/>
    <w:rsid w:val="00B507A1"/>
    <w:rsid w:val="00B70AD9"/>
    <w:rsid w:val="00BC0E43"/>
    <w:rsid w:val="00BD480F"/>
    <w:rsid w:val="00C248BE"/>
    <w:rsid w:val="00C452AC"/>
    <w:rsid w:val="00C52A03"/>
    <w:rsid w:val="00C56228"/>
    <w:rsid w:val="00C70F11"/>
    <w:rsid w:val="00C76352"/>
    <w:rsid w:val="00C861FE"/>
    <w:rsid w:val="00C9579F"/>
    <w:rsid w:val="00CB0806"/>
    <w:rsid w:val="00CE4B5D"/>
    <w:rsid w:val="00D01AEE"/>
    <w:rsid w:val="00D026D7"/>
    <w:rsid w:val="00D157BA"/>
    <w:rsid w:val="00D201CF"/>
    <w:rsid w:val="00D217AE"/>
    <w:rsid w:val="00D4615C"/>
    <w:rsid w:val="00D73A8C"/>
    <w:rsid w:val="00DA47D5"/>
    <w:rsid w:val="00DB5CD5"/>
    <w:rsid w:val="00DB7840"/>
    <w:rsid w:val="00DD1EA9"/>
    <w:rsid w:val="00DD4CB5"/>
    <w:rsid w:val="00DD6B1F"/>
    <w:rsid w:val="00DD6C13"/>
    <w:rsid w:val="00DE1C3C"/>
    <w:rsid w:val="00E03B2C"/>
    <w:rsid w:val="00E051DA"/>
    <w:rsid w:val="00E13DA3"/>
    <w:rsid w:val="00E243DC"/>
    <w:rsid w:val="00E8681D"/>
    <w:rsid w:val="00EB3B2B"/>
    <w:rsid w:val="00ED58E5"/>
    <w:rsid w:val="00EF6C7A"/>
    <w:rsid w:val="00F015C9"/>
    <w:rsid w:val="00F06149"/>
    <w:rsid w:val="00F2311D"/>
    <w:rsid w:val="00F2713A"/>
    <w:rsid w:val="00F27AFC"/>
    <w:rsid w:val="00F36181"/>
    <w:rsid w:val="00F40BD0"/>
    <w:rsid w:val="00F52F9F"/>
    <w:rsid w:val="00F732CA"/>
    <w:rsid w:val="00F92CF2"/>
    <w:rsid w:val="00F94BEE"/>
    <w:rsid w:val="00F95605"/>
    <w:rsid w:val="00FC16C4"/>
    <w:rsid w:val="00FD26D5"/>
    <w:rsid w:val="00FE2B48"/>
    <w:rsid w:val="00FE5F67"/>
    <w:rsid w:val="00FE705D"/>
    <w:rsid w:val="00FF06FE"/>
    <w:rsid w:val="00FF1703"/>
    <w:rsid w:val="00FF7FAF"/>
    <w:rsid w:val="011959AD"/>
    <w:rsid w:val="07CD5425"/>
    <w:rsid w:val="093B70AB"/>
    <w:rsid w:val="105835F0"/>
    <w:rsid w:val="111D0F06"/>
    <w:rsid w:val="13805712"/>
    <w:rsid w:val="16DD2664"/>
    <w:rsid w:val="1C7574D0"/>
    <w:rsid w:val="1D3C29F8"/>
    <w:rsid w:val="24A23A1F"/>
    <w:rsid w:val="25A014D8"/>
    <w:rsid w:val="264B5482"/>
    <w:rsid w:val="277715C0"/>
    <w:rsid w:val="2F1053B2"/>
    <w:rsid w:val="30304425"/>
    <w:rsid w:val="30E3437E"/>
    <w:rsid w:val="381C67F8"/>
    <w:rsid w:val="38FF470D"/>
    <w:rsid w:val="3DED04AA"/>
    <w:rsid w:val="40286EB1"/>
    <w:rsid w:val="476A48A4"/>
    <w:rsid w:val="4902517C"/>
    <w:rsid w:val="494519EB"/>
    <w:rsid w:val="49BE2E0C"/>
    <w:rsid w:val="4F660F0E"/>
    <w:rsid w:val="502076A8"/>
    <w:rsid w:val="52E05376"/>
    <w:rsid w:val="55D11F05"/>
    <w:rsid w:val="57726482"/>
    <w:rsid w:val="59511914"/>
    <w:rsid w:val="5AD74C21"/>
    <w:rsid w:val="5CE033B8"/>
    <w:rsid w:val="5D1454BE"/>
    <w:rsid w:val="5D28234A"/>
    <w:rsid w:val="6100369C"/>
    <w:rsid w:val="63AC6BB8"/>
    <w:rsid w:val="654713D8"/>
    <w:rsid w:val="663D4F90"/>
    <w:rsid w:val="6999478B"/>
    <w:rsid w:val="6A9A31A7"/>
    <w:rsid w:val="6BF53DE5"/>
    <w:rsid w:val="6D7A26B4"/>
    <w:rsid w:val="6E25471F"/>
    <w:rsid w:val="702B6B1C"/>
    <w:rsid w:val="71BE0C8C"/>
    <w:rsid w:val="74B67030"/>
    <w:rsid w:val="750B0069"/>
    <w:rsid w:val="76FD1BB0"/>
    <w:rsid w:val="7EDF7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line="412" w:lineRule="auto"/>
      <w:jc w:val="center"/>
      <w:outlineLvl w:val="1"/>
    </w:pPr>
    <w:rPr>
      <w:rFonts w:ascii="Arial" w:hAnsi="Arial"/>
      <w:b/>
      <w:sz w:val="24"/>
      <w:szCs w:val="20"/>
    </w:rPr>
  </w:style>
  <w:style w:type="paragraph" w:styleId="3">
    <w:name w:val="heading 3"/>
    <w:basedOn w:val="1"/>
    <w:next w:val="1"/>
    <w:qFormat/>
    <w:uiPriority w:val="99"/>
    <w:pPr>
      <w:keepNext/>
      <w:keepLines/>
      <w:widowControl/>
      <w:numPr>
        <w:ilvl w:val="2"/>
        <w:numId w:val="1"/>
      </w:numPr>
      <w:spacing w:before="260" w:after="260" w:line="416" w:lineRule="auto"/>
      <w:jc w:val="left"/>
      <w:outlineLvl w:val="2"/>
    </w:pPr>
    <w:rPr>
      <w:rFonts w:ascii="Times New Roman" w:hAnsi="Times New Roman" w:eastAsia="宋体" w:cs="Times New Roman"/>
      <w:b/>
      <w:bCs/>
      <w:kern w:val="0"/>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宋体" w:cs="Times New Roman"/>
      <w:kern w:val="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rPr>
      <w:sz w:val="24"/>
    </w:rPr>
  </w:style>
  <w:style w:type="paragraph" w:styleId="7">
    <w:name w:val="Plain Text"/>
    <w:basedOn w:val="1"/>
    <w:link w:val="24"/>
    <w:qFormat/>
    <w:uiPriority w:val="0"/>
    <w:rPr>
      <w:rFonts w:ascii="宋体" w:hAnsi="Courier New"/>
      <w:szCs w:val="21"/>
    </w:rPr>
  </w:style>
  <w:style w:type="paragraph" w:styleId="8">
    <w:name w:val="Date"/>
    <w:basedOn w:val="1"/>
    <w:next w:val="1"/>
    <w:qFormat/>
    <w:uiPriority w:val="0"/>
    <w:rPr>
      <w:rFonts w:ascii="楷体_GB2312" w:eastAsia="楷体_GB2312"/>
      <w:sz w:val="28"/>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6"/>
    <w:unhideWhenUsed/>
    <w:qFormat/>
    <w:uiPriority w:val="99"/>
    <w:pPr>
      <w:ind w:firstLine="420" w:firstLineChars="100"/>
    </w:pPr>
    <w:rPr>
      <w:rFonts w:ascii="Times New Roman" w:hAnsi="Times New Roman"/>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character" w:customStyle="1" w:styleId="20">
    <w:name w:val="批注框文本 字符"/>
    <w:basedOn w:val="16"/>
    <w:link w:val="9"/>
    <w:semiHidden/>
    <w:qFormat/>
    <w:uiPriority w:val="99"/>
    <w:rPr>
      <w:sz w:val="18"/>
      <w:szCs w:val="18"/>
    </w:rPr>
  </w:style>
  <w:style w:type="paragraph" w:customStyle="1" w:styleId="21">
    <w:name w:val="1"/>
    <w:basedOn w:val="1"/>
    <w:next w:val="7"/>
    <w:qFormat/>
    <w:uiPriority w:val="0"/>
    <w:rPr>
      <w:rFonts w:ascii="宋体" w:hAnsi="Courier New"/>
      <w:szCs w:val="20"/>
    </w:rPr>
  </w:style>
  <w:style w:type="paragraph" w:customStyle="1" w:styleId="22">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szCs w:val="24"/>
    </w:rPr>
  </w:style>
  <w:style w:type="paragraph" w:styleId="23">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4">
    <w:name w:val="纯文本 字符"/>
    <w:basedOn w:val="16"/>
    <w:link w:val="7"/>
    <w:qFormat/>
    <w:uiPriority w:val="0"/>
    <w:rPr>
      <w:rFonts w:ascii="宋体" w:hAnsi="Courier New" w:eastAsiaTheme="minorEastAsia"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BD30F-F371-4FDF-B95A-BA482E54129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11525</Words>
  <Characters>11895</Characters>
  <Lines>55</Lines>
  <Paragraphs>15</Paragraphs>
  <TotalTime>16</TotalTime>
  <ScaleCrop>false</ScaleCrop>
  <LinksUpToDate>false</LinksUpToDate>
  <CharactersWithSpaces>12691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2024-05-30T01:18:00Z</dcterms:created>
  <dc:creator>yangguannan</dc:creator>
  <cp:lastModifiedBy>刘文莉</cp:lastModifiedBy>
  <dcterms:modified xsi:type="dcterms:W3CDTF">2025-05-29T06:28:47Z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310A2F25A12D4B1798911B30F91AA6F4</vt:lpwstr>
  </property>
  <property fmtid="{D5CDD505-2E9C-101B-9397-08002B2CF9AE}" pid="4" name="KSOTemplateDocerSaveRecord">
    <vt:lpwstr>eyJoZGlkIjoiNmVhNTI0OThkZWZhMzMyNWZhY2QxNjVmMzdhZWFiNmIiLCJ1c2VySWQiOiIxNjgyMzY0NDAwIn0=</vt:lpwstr>
  </property>
</Properties>
</file>